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1C" w:rsidRPr="006D15D9" w:rsidRDefault="00E4601C" w:rsidP="00E66FBA">
      <w:pPr>
        <w:jc w:val="center"/>
        <w:rPr>
          <w:rFonts w:ascii="宋体" w:cs="Times New Roman"/>
          <w:b/>
          <w:bCs/>
          <w:sz w:val="44"/>
          <w:szCs w:val="44"/>
        </w:rPr>
      </w:pPr>
      <w:r w:rsidRPr="006B209D">
        <w:rPr>
          <w:rFonts w:ascii="方正小标宋简体" w:eastAsia="方正小标宋简体" w:hAnsi="方正小标宋简体" w:cs="方正小标宋简体" w:hint="eastAsia"/>
          <w:sz w:val="44"/>
          <w:szCs w:val="44"/>
        </w:rPr>
        <w:t>霸州津霸经济开发区管理委员会</w:t>
      </w:r>
      <w:r w:rsidRPr="00147549">
        <w:rPr>
          <w:rFonts w:ascii="方正小标宋简体" w:eastAsia="方正小标宋简体" w:hAnsi="方正小标宋简体" w:cs="方正小标宋简体"/>
          <w:sz w:val="44"/>
          <w:szCs w:val="44"/>
        </w:rPr>
        <w:t>2017</w:t>
      </w:r>
      <w:r w:rsidRPr="00147549">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度</w:t>
      </w:r>
      <w:r w:rsidRPr="00147549">
        <w:rPr>
          <w:rFonts w:ascii="方正小标宋简体" w:eastAsia="方正小标宋简体" w:hAnsi="方正小标宋简体" w:cs="方正小标宋简体" w:hint="eastAsia"/>
          <w:sz w:val="44"/>
          <w:szCs w:val="44"/>
        </w:rPr>
        <w:t>部门预算信息公开</w:t>
      </w:r>
    </w:p>
    <w:p w:rsidR="00E4601C" w:rsidRDefault="00E4601C" w:rsidP="009271DC">
      <w:pPr>
        <w:ind w:firstLineChars="200" w:firstLine="640"/>
        <w:rPr>
          <w:rFonts w:ascii="仿宋_GB2312" w:eastAsia="仿宋_GB2312" w:hAnsi="仿宋_GB2312" w:cs="仿宋_GB2312"/>
          <w:sz w:val="32"/>
          <w:szCs w:val="32"/>
        </w:rPr>
      </w:pPr>
    </w:p>
    <w:p w:rsidR="00E4601C" w:rsidRPr="00C664D2" w:rsidRDefault="00E4601C" w:rsidP="009271DC">
      <w:pPr>
        <w:ind w:firstLineChars="200" w:firstLine="640"/>
        <w:rPr>
          <w:rFonts w:ascii="仿宋" w:eastAsia="仿宋" w:hAnsi="仿宋" w:cs="Times New Roman"/>
          <w:sz w:val="32"/>
          <w:szCs w:val="32"/>
        </w:rPr>
      </w:pPr>
      <w:r w:rsidRPr="00C664D2">
        <w:rPr>
          <w:rFonts w:ascii="仿宋_GB2312" w:eastAsia="仿宋_GB2312" w:hAnsi="仿宋_GB2312" w:cs="仿宋_GB2312" w:hint="eastAsia"/>
          <w:sz w:val="32"/>
          <w:szCs w:val="32"/>
        </w:rPr>
        <w:t>按照《预算法》、《地方预决算公开操作规程》和《河北省省级预算公开办法》规定，现将</w:t>
      </w:r>
      <w:r w:rsidRPr="006B209D">
        <w:rPr>
          <w:rFonts w:ascii="仿宋_GB2312" w:eastAsia="仿宋_GB2312" w:hAnsi="仿宋_GB2312" w:cs="仿宋_GB2312" w:hint="eastAsia"/>
          <w:sz w:val="32"/>
          <w:szCs w:val="32"/>
        </w:rPr>
        <w:t>霸州津霸经济开发区管理委员会</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年部门预算公开如下：</w:t>
      </w:r>
    </w:p>
    <w:p w:rsidR="00E4601C" w:rsidRPr="00F66032" w:rsidRDefault="00E4601C" w:rsidP="009271DC">
      <w:pPr>
        <w:ind w:firstLineChars="200" w:firstLine="640"/>
        <w:rPr>
          <w:rFonts w:ascii="黑体" w:eastAsia="黑体" w:hAnsi="黑体" w:cs="Times New Roman"/>
          <w:sz w:val="32"/>
          <w:szCs w:val="32"/>
        </w:rPr>
      </w:pPr>
      <w:r w:rsidRPr="00F66032">
        <w:rPr>
          <w:rFonts w:ascii="黑体" w:eastAsia="黑体" w:hAnsi="黑体" w:cs="黑体" w:hint="eastAsia"/>
          <w:sz w:val="32"/>
          <w:szCs w:val="32"/>
        </w:rPr>
        <w:t>一、部门职责及机构设置</w:t>
      </w:r>
      <w:r>
        <w:rPr>
          <w:rFonts w:ascii="黑体" w:eastAsia="黑体" w:hAnsi="黑体" w:cs="黑体" w:hint="eastAsia"/>
          <w:sz w:val="32"/>
          <w:szCs w:val="32"/>
        </w:rPr>
        <w:t>情况</w:t>
      </w:r>
    </w:p>
    <w:p w:rsidR="00E4601C" w:rsidRPr="00431E8D" w:rsidRDefault="00E4601C" w:rsidP="009271DC">
      <w:pPr>
        <w:spacing w:line="580" w:lineRule="atLeast"/>
        <w:ind w:firstLineChars="200" w:firstLine="643"/>
        <w:rPr>
          <w:rFonts w:ascii="楷体" w:eastAsia="楷体" w:hAnsi="楷体" w:cs="Times New Roman"/>
          <w:b/>
          <w:bCs/>
          <w:sz w:val="32"/>
          <w:szCs w:val="32"/>
        </w:rPr>
      </w:pPr>
      <w:r w:rsidRPr="00431E8D">
        <w:rPr>
          <w:rFonts w:ascii="楷体" w:eastAsia="楷体" w:hAnsi="楷体" w:cs="楷体" w:hint="eastAsia"/>
          <w:b/>
          <w:bCs/>
          <w:sz w:val="32"/>
          <w:szCs w:val="32"/>
        </w:rPr>
        <w:t>部门职责：</w:t>
      </w:r>
    </w:p>
    <w:p w:rsidR="00E4601C" w:rsidRPr="00077A2E" w:rsidRDefault="00E4601C" w:rsidP="009271DC">
      <w:pPr>
        <w:ind w:firstLineChars="200" w:firstLine="640"/>
        <w:rPr>
          <w:rFonts w:ascii="仿宋" w:eastAsia="仿宋" w:hAnsi="仿宋" w:cs="Times New Roman"/>
          <w:sz w:val="32"/>
          <w:szCs w:val="32"/>
        </w:rPr>
      </w:pPr>
      <w:r w:rsidRPr="00C664D2">
        <w:rPr>
          <w:rFonts w:ascii="仿宋_GB2312" w:eastAsia="仿宋_GB2312" w:hAnsi="仿宋_GB2312" w:cs="仿宋_GB2312" w:hint="eastAsia"/>
          <w:sz w:val="32"/>
          <w:szCs w:val="32"/>
        </w:rPr>
        <w:t>贯彻落实党的路线、方针、政策和上级党委的决议、指示、研究辖区内重大经济社会发展问题；按照授权和干部管理权限负责辖区内干部管理；负责辖区内党的建设和其他党务工作；负责宣传和精神文明建设工作；组织协调辖区内社会管理综合治理和维护稳定工作；负责辖区内党的纪律检查工作；负责辖区工会、共青团、妇联等群团工作；完成中共霸州市委交办的其他任务。负责辖区的总体规划和经济、社会发展规划，经批准后组织实施；编制辖区区域性城市发展规划、国土利用规划，经批准后组织实施；审批或审核辖区固定资产投资项目；负责辖区基础设施和公共设施的建设和管理；负责管理和使用辖区建设发展专项资金；负责招商引资、进出口贸易和国内经济技术合作工作；负责辖区环境保护和安全生产监督管理工作；负责辖区食品药品安全监督管理工作；负责辖区人力资源和社会保障工作；负责协调辖区内上级有关部门派驻机构的工作；完成中共霸州市委、霸州市政府交办的其他任务。</w:t>
      </w:r>
    </w:p>
    <w:p w:rsidR="00E4601C" w:rsidRPr="00672448" w:rsidRDefault="00E4601C" w:rsidP="009271DC">
      <w:pPr>
        <w:spacing w:line="580" w:lineRule="atLeast"/>
        <w:ind w:firstLineChars="200" w:firstLine="643"/>
        <w:rPr>
          <w:rFonts w:ascii="楷体" w:eastAsia="楷体" w:hAnsi="楷体" w:cs="Times New Roman"/>
          <w:b/>
          <w:bCs/>
          <w:sz w:val="32"/>
          <w:szCs w:val="32"/>
        </w:rPr>
      </w:pPr>
      <w:r w:rsidRPr="00672448">
        <w:rPr>
          <w:rFonts w:ascii="楷体" w:eastAsia="楷体" w:hAnsi="楷体" w:cs="楷体" w:hint="eastAsia"/>
          <w:b/>
          <w:bCs/>
          <w:sz w:val="32"/>
          <w:szCs w:val="32"/>
        </w:rPr>
        <w:t>机构设置：</w:t>
      </w:r>
    </w:p>
    <w:p w:rsidR="00E4601C" w:rsidRPr="005A46E8" w:rsidRDefault="00E4601C" w:rsidP="009271DC">
      <w:pPr>
        <w:ind w:firstLineChars="200" w:firstLine="640"/>
        <w:jc w:val="center"/>
        <w:rPr>
          <w:rFonts w:ascii="仿宋_GB2312" w:eastAsia="仿宋_GB2312" w:hAnsi="仿宋_GB2312" w:cs="Times New Roman"/>
          <w:sz w:val="32"/>
          <w:szCs w:val="32"/>
        </w:rPr>
      </w:pPr>
      <w:r w:rsidRPr="005A46E8">
        <w:rPr>
          <w:rFonts w:ascii="仿宋_GB2312" w:eastAsia="仿宋_GB2312" w:hAnsi="仿宋_GB2312" w:cs="仿宋_GB2312" w:hint="eastAsia"/>
          <w:sz w:val="32"/>
          <w:szCs w:val="32"/>
        </w:rPr>
        <w:t>部门机构设置情况</w:t>
      </w:r>
    </w:p>
    <w:tbl>
      <w:tblPr>
        <w:tblW w:w="11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3"/>
        <w:gridCol w:w="1680"/>
        <w:gridCol w:w="1680"/>
        <w:gridCol w:w="3255"/>
      </w:tblGrid>
      <w:tr w:rsidR="00E4601C" w:rsidRPr="00077A2E">
        <w:trPr>
          <w:trHeight w:val="300"/>
          <w:tblHeader/>
          <w:jc w:val="center"/>
        </w:trPr>
        <w:tc>
          <w:tcPr>
            <w:tcW w:w="5043" w:type="dxa"/>
            <w:vMerge w:val="restart"/>
            <w:vAlign w:val="center"/>
          </w:tcPr>
          <w:p w:rsidR="00E4601C" w:rsidRPr="00784BF2" w:rsidRDefault="00E4601C" w:rsidP="00F66032">
            <w:pPr>
              <w:spacing w:line="300" w:lineRule="exact"/>
              <w:jc w:val="center"/>
              <w:rPr>
                <w:rFonts w:ascii="仿宋_GB2312" w:eastAsia="仿宋_GB2312" w:hAnsi="仿宋" w:cs="Times New Roman"/>
                <w:b/>
                <w:bCs/>
                <w:sz w:val="28"/>
                <w:szCs w:val="28"/>
              </w:rPr>
            </w:pPr>
            <w:r w:rsidRPr="00784BF2">
              <w:rPr>
                <w:rFonts w:ascii="仿宋_GB2312" w:eastAsia="仿宋_GB2312" w:hAnsi="仿宋" w:cs="仿宋_GB2312" w:hint="eastAsia"/>
                <w:b/>
                <w:bCs/>
                <w:sz w:val="28"/>
                <w:szCs w:val="28"/>
              </w:rPr>
              <w:t>单位名称</w:t>
            </w:r>
          </w:p>
        </w:tc>
        <w:tc>
          <w:tcPr>
            <w:tcW w:w="1680" w:type="dxa"/>
            <w:vMerge w:val="restart"/>
            <w:vAlign w:val="center"/>
          </w:tcPr>
          <w:p w:rsidR="00E4601C" w:rsidRPr="00784BF2" w:rsidRDefault="00E4601C" w:rsidP="00F66032">
            <w:pPr>
              <w:spacing w:line="300" w:lineRule="exact"/>
              <w:jc w:val="center"/>
              <w:rPr>
                <w:rFonts w:ascii="仿宋_GB2312" w:eastAsia="仿宋_GB2312" w:hAnsi="仿宋" w:cs="Times New Roman"/>
                <w:b/>
                <w:bCs/>
                <w:sz w:val="28"/>
                <w:szCs w:val="28"/>
              </w:rPr>
            </w:pPr>
            <w:r w:rsidRPr="00784BF2">
              <w:rPr>
                <w:rFonts w:ascii="仿宋_GB2312" w:eastAsia="仿宋_GB2312" w:hAnsi="仿宋" w:cs="仿宋_GB2312" w:hint="eastAsia"/>
                <w:b/>
                <w:bCs/>
                <w:sz w:val="28"/>
                <w:szCs w:val="28"/>
              </w:rPr>
              <w:t>单位性质</w:t>
            </w:r>
          </w:p>
        </w:tc>
        <w:tc>
          <w:tcPr>
            <w:tcW w:w="1680" w:type="dxa"/>
            <w:vMerge w:val="restart"/>
            <w:vAlign w:val="center"/>
          </w:tcPr>
          <w:p w:rsidR="00E4601C" w:rsidRPr="00784BF2" w:rsidRDefault="00E4601C" w:rsidP="00F66032">
            <w:pPr>
              <w:spacing w:line="300" w:lineRule="exact"/>
              <w:jc w:val="center"/>
              <w:rPr>
                <w:rFonts w:ascii="仿宋_GB2312" w:eastAsia="仿宋_GB2312" w:hAnsi="仿宋" w:cs="Times New Roman"/>
                <w:b/>
                <w:bCs/>
                <w:sz w:val="28"/>
                <w:szCs w:val="28"/>
              </w:rPr>
            </w:pPr>
            <w:r w:rsidRPr="00784BF2">
              <w:rPr>
                <w:rFonts w:ascii="仿宋_GB2312" w:eastAsia="仿宋_GB2312" w:hAnsi="仿宋" w:cs="仿宋_GB2312" w:hint="eastAsia"/>
                <w:b/>
                <w:bCs/>
                <w:sz w:val="28"/>
                <w:szCs w:val="28"/>
              </w:rPr>
              <w:t>单位规格</w:t>
            </w:r>
          </w:p>
        </w:tc>
        <w:tc>
          <w:tcPr>
            <w:tcW w:w="3255" w:type="dxa"/>
            <w:vMerge w:val="restart"/>
            <w:vAlign w:val="center"/>
          </w:tcPr>
          <w:p w:rsidR="00E4601C" w:rsidRPr="00784BF2" w:rsidRDefault="00E4601C" w:rsidP="00F66032">
            <w:pPr>
              <w:spacing w:line="300" w:lineRule="exact"/>
              <w:jc w:val="center"/>
              <w:rPr>
                <w:rFonts w:ascii="仿宋_GB2312" w:eastAsia="仿宋_GB2312" w:hAnsi="仿宋" w:cs="Times New Roman"/>
                <w:b/>
                <w:bCs/>
                <w:sz w:val="28"/>
                <w:szCs w:val="28"/>
              </w:rPr>
            </w:pPr>
            <w:r w:rsidRPr="00784BF2">
              <w:rPr>
                <w:rFonts w:ascii="仿宋_GB2312" w:eastAsia="仿宋_GB2312" w:hAnsi="仿宋" w:cs="仿宋_GB2312" w:hint="eastAsia"/>
                <w:b/>
                <w:bCs/>
                <w:sz w:val="28"/>
                <w:szCs w:val="28"/>
              </w:rPr>
              <w:t>经费保障形式</w:t>
            </w:r>
          </w:p>
        </w:tc>
      </w:tr>
      <w:tr w:rsidR="00E4601C" w:rsidRPr="00077A2E">
        <w:trPr>
          <w:trHeight w:val="300"/>
          <w:tblHeader/>
          <w:jc w:val="center"/>
        </w:trPr>
        <w:tc>
          <w:tcPr>
            <w:tcW w:w="5043" w:type="dxa"/>
            <w:vMerge/>
            <w:vAlign w:val="center"/>
          </w:tcPr>
          <w:p w:rsidR="00E4601C" w:rsidRPr="00784BF2" w:rsidRDefault="00E4601C" w:rsidP="00F66032">
            <w:pPr>
              <w:spacing w:line="300" w:lineRule="exact"/>
              <w:jc w:val="left"/>
              <w:outlineLvl w:val="0"/>
              <w:rPr>
                <w:rFonts w:ascii="仿宋_GB2312" w:eastAsia="仿宋_GB2312" w:hAnsi="仿宋" w:cs="Times New Roman"/>
                <w:sz w:val="28"/>
                <w:szCs w:val="28"/>
              </w:rPr>
            </w:pPr>
          </w:p>
        </w:tc>
        <w:tc>
          <w:tcPr>
            <w:tcW w:w="1680" w:type="dxa"/>
            <w:vMerge/>
            <w:vAlign w:val="center"/>
          </w:tcPr>
          <w:p w:rsidR="00E4601C" w:rsidRPr="00784BF2" w:rsidRDefault="00E4601C" w:rsidP="00F66032">
            <w:pPr>
              <w:spacing w:line="300" w:lineRule="exact"/>
              <w:jc w:val="left"/>
              <w:outlineLvl w:val="0"/>
              <w:rPr>
                <w:rFonts w:ascii="仿宋_GB2312" w:eastAsia="仿宋_GB2312" w:hAnsi="仿宋" w:cs="Times New Roman"/>
                <w:sz w:val="28"/>
                <w:szCs w:val="28"/>
              </w:rPr>
            </w:pPr>
          </w:p>
        </w:tc>
        <w:tc>
          <w:tcPr>
            <w:tcW w:w="1680" w:type="dxa"/>
            <w:vMerge/>
            <w:vAlign w:val="center"/>
          </w:tcPr>
          <w:p w:rsidR="00E4601C" w:rsidRPr="00784BF2" w:rsidRDefault="00E4601C" w:rsidP="00F66032">
            <w:pPr>
              <w:spacing w:line="300" w:lineRule="exact"/>
              <w:jc w:val="left"/>
              <w:outlineLvl w:val="0"/>
              <w:rPr>
                <w:rFonts w:ascii="仿宋_GB2312" w:eastAsia="仿宋_GB2312" w:hAnsi="仿宋" w:cs="Times New Roman"/>
                <w:sz w:val="28"/>
                <w:szCs w:val="28"/>
              </w:rPr>
            </w:pPr>
          </w:p>
        </w:tc>
        <w:tc>
          <w:tcPr>
            <w:tcW w:w="3255" w:type="dxa"/>
            <w:vMerge/>
            <w:vAlign w:val="center"/>
          </w:tcPr>
          <w:p w:rsidR="00E4601C" w:rsidRPr="00784BF2" w:rsidRDefault="00E4601C" w:rsidP="00F66032">
            <w:pPr>
              <w:spacing w:line="300" w:lineRule="exact"/>
              <w:jc w:val="left"/>
              <w:outlineLvl w:val="0"/>
              <w:rPr>
                <w:rFonts w:ascii="仿宋_GB2312" w:eastAsia="仿宋_GB2312" w:hAnsi="仿宋" w:cs="Times New Roman"/>
                <w:sz w:val="28"/>
                <w:szCs w:val="28"/>
              </w:rPr>
            </w:pPr>
          </w:p>
        </w:tc>
      </w:tr>
      <w:tr w:rsidR="00E4601C" w:rsidRPr="00077A2E">
        <w:trPr>
          <w:trHeight w:val="557"/>
          <w:jc w:val="center"/>
        </w:trPr>
        <w:tc>
          <w:tcPr>
            <w:tcW w:w="5043" w:type="dxa"/>
            <w:vAlign w:val="center"/>
          </w:tcPr>
          <w:p w:rsidR="00E4601C" w:rsidRPr="00784BF2" w:rsidRDefault="00E4601C" w:rsidP="00E66FBA">
            <w:pPr>
              <w:spacing w:line="300" w:lineRule="exact"/>
              <w:jc w:val="center"/>
              <w:rPr>
                <w:rFonts w:ascii="仿宋_GB2312" w:eastAsia="仿宋_GB2312" w:hAnsi="仿宋" w:cs="Times New Roman"/>
                <w:sz w:val="28"/>
                <w:szCs w:val="28"/>
              </w:rPr>
            </w:pPr>
            <w:r w:rsidRPr="00784BF2">
              <w:rPr>
                <w:rFonts w:ascii="仿宋_GB2312" w:eastAsia="仿宋_GB2312" w:hAnsi="仿宋" w:cs="仿宋_GB2312" w:hint="eastAsia"/>
                <w:sz w:val="28"/>
                <w:szCs w:val="28"/>
              </w:rPr>
              <w:t>霸州津霸经济开发区管理委员会</w:t>
            </w:r>
          </w:p>
        </w:tc>
        <w:tc>
          <w:tcPr>
            <w:tcW w:w="1680" w:type="dxa"/>
            <w:vAlign w:val="center"/>
          </w:tcPr>
          <w:p w:rsidR="00E4601C" w:rsidRPr="00784BF2" w:rsidRDefault="00E4601C" w:rsidP="00E66FBA">
            <w:pPr>
              <w:spacing w:line="300" w:lineRule="exact"/>
              <w:jc w:val="center"/>
              <w:rPr>
                <w:rFonts w:ascii="仿宋_GB2312" w:eastAsia="仿宋_GB2312" w:hAnsi="仿宋" w:cs="Times New Roman"/>
                <w:sz w:val="28"/>
                <w:szCs w:val="28"/>
              </w:rPr>
            </w:pPr>
            <w:r w:rsidRPr="00784BF2">
              <w:rPr>
                <w:rFonts w:ascii="仿宋_GB2312" w:eastAsia="仿宋_GB2312" w:hAnsi="仿宋" w:cs="仿宋_GB2312" w:hint="eastAsia"/>
                <w:sz w:val="28"/>
                <w:szCs w:val="28"/>
              </w:rPr>
              <w:t>行政</w:t>
            </w:r>
          </w:p>
        </w:tc>
        <w:tc>
          <w:tcPr>
            <w:tcW w:w="1680" w:type="dxa"/>
            <w:vAlign w:val="center"/>
          </w:tcPr>
          <w:p w:rsidR="00E4601C" w:rsidRPr="00784BF2" w:rsidRDefault="00E4601C" w:rsidP="00E66FBA">
            <w:pPr>
              <w:spacing w:line="300" w:lineRule="exact"/>
              <w:jc w:val="center"/>
              <w:rPr>
                <w:rFonts w:ascii="仿宋_GB2312" w:eastAsia="仿宋_GB2312" w:hAnsi="仿宋" w:cs="Times New Roman"/>
                <w:sz w:val="28"/>
                <w:szCs w:val="28"/>
              </w:rPr>
            </w:pPr>
            <w:r w:rsidRPr="00784BF2">
              <w:rPr>
                <w:rFonts w:ascii="仿宋_GB2312" w:eastAsia="仿宋_GB2312" w:hAnsi="仿宋" w:cs="仿宋_GB2312" w:hint="eastAsia"/>
                <w:sz w:val="28"/>
                <w:szCs w:val="28"/>
              </w:rPr>
              <w:t>副处级</w:t>
            </w:r>
          </w:p>
        </w:tc>
        <w:tc>
          <w:tcPr>
            <w:tcW w:w="3255" w:type="dxa"/>
            <w:vAlign w:val="center"/>
          </w:tcPr>
          <w:p w:rsidR="00E4601C" w:rsidRPr="00784BF2" w:rsidRDefault="00E4601C" w:rsidP="00077A2E">
            <w:pPr>
              <w:spacing w:line="300" w:lineRule="exact"/>
              <w:jc w:val="center"/>
              <w:rPr>
                <w:rFonts w:ascii="仿宋_GB2312" w:eastAsia="仿宋_GB2312" w:hAnsi="仿宋" w:cs="Times New Roman"/>
                <w:sz w:val="28"/>
                <w:szCs w:val="28"/>
              </w:rPr>
            </w:pPr>
            <w:r w:rsidRPr="00784BF2">
              <w:rPr>
                <w:rFonts w:ascii="仿宋_GB2312" w:eastAsia="仿宋_GB2312" w:hAnsi="仿宋" w:cs="仿宋_GB2312" w:hint="eastAsia"/>
                <w:sz w:val="28"/>
                <w:szCs w:val="28"/>
              </w:rPr>
              <w:t>财政拨款</w:t>
            </w:r>
          </w:p>
        </w:tc>
      </w:tr>
    </w:tbl>
    <w:p w:rsidR="00E4601C" w:rsidRDefault="00E4601C" w:rsidP="009271DC">
      <w:pPr>
        <w:ind w:firstLineChars="200"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E4601C" w:rsidRPr="00C664D2" w:rsidRDefault="00E4601C" w:rsidP="009271DC">
      <w:pPr>
        <w:ind w:firstLineChars="200" w:firstLine="640"/>
        <w:rPr>
          <w:rFonts w:ascii="仿宋_GB2312" w:eastAsia="仿宋_GB2312" w:hAnsi="仿宋_GB2312" w:cs="Times New Roman"/>
          <w:sz w:val="32"/>
          <w:szCs w:val="32"/>
        </w:rPr>
      </w:pPr>
      <w:r w:rsidRPr="00C664D2">
        <w:rPr>
          <w:rFonts w:ascii="仿宋_GB2312" w:eastAsia="仿宋_GB2312" w:hAnsi="仿宋_GB2312" w:cs="仿宋_GB2312" w:hint="eastAsia"/>
          <w:sz w:val="32"/>
          <w:szCs w:val="32"/>
        </w:rPr>
        <w:t>按照预算管理有关规定，目前我</w:t>
      </w:r>
      <w:r>
        <w:rPr>
          <w:rFonts w:ascii="仿宋_GB2312" w:eastAsia="仿宋_GB2312" w:hAnsi="仿宋_GB2312" w:cs="仿宋_GB2312" w:hint="eastAsia"/>
          <w:sz w:val="32"/>
          <w:szCs w:val="32"/>
        </w:rPr>
        <w:t>市</w:t>
      </w:r>
      <w:r w:rsidRPr="00C664D2">
        <w:rPr>
          <w:rFonts w:ascii="仿宋_GB2312" w:eastAsia="仿宋_GB2312" w:hAnsi="仿宋_GB2312" w:cs="仿宋_GB2312" w:hint="eastAsia"/>
          <w:sz w:val="32"/>
          <w:szCs w:val="32"/>
        </w:rPr>
        <w:t>部门预算的编制实行综合预算制度，即全部收入和支出都反映在预算中。</w:t>
      </w:r>
    </w:p>
    <w:p w:rsidR="00E4601C" w:rsidRPr="00147549" w:rsidRDefault="00E4601C" w:rsidP="009271DC">
      <w:pPr>
        <w:ind w:firstLineChars="196" w:firstLine="630"/>
        <w:rPr>
          <w:rFonts w:ascii="楷体_GB2312" w:eastAsia="楷体_GB2312" w:hAnsi="楷体" w:cs="Times New Roman"/>
          <w:b/>
          <w:bCs/>
          <w:sz w:val="32"/>
          <w:szCs w:val="32"/>
        </w:rPr>
      </w:pPr>
      <w:r w:rsidRPr="00B40E54">
        <w:rPr>
          <w:rFonts w:ascii="楷体" w:eastAsia="楷体" w:hAnsi="楷体" w:cs="楷体"/>
          <w:b/>
          <w:bCs/>
          <w:sz w:val="32"/>
          <w:szCs w:val="32"/>
        </w:rPr>
        <w:t>1</w:t>
      </w:r>
      <w:r w:rsidRPr="00B40E54">
        <w:rPr>
          <w:rFonts w:ascii="楷体" w:eastAsia="楷体" w:hAnsi="楷体" w:cs="楷体" w:hint="eastAsia"/>
          <w:b/>
          <w:bCs/>
          <w:sz w:val="32"/>
          <w:szCs w:val="32"/>
        </w:rPr>
        <w:t>、收入说明</w:t>
      </w:r>
    </w:p>
    <w:p w:rsidR="00E4601C" w:rsidRPr="00E8243C" w:rsidRDefault="00E4601C" w:rsidP="009271DC">
      <w:pPr>
        <w:ind w:firstLineChars="200" w:firstLine="640"/>
        <w:rPr>
          <w:rFonts w:ascii="仿宋_GB2312" w:eastAsia="仿宋_GB2312" w:hAnsi="仿宋_GB2312" w:cs="Times New Roman"/>
          <w:sz w:val="30"/>
          <w:szCs w:val="30"/>
        </w:rPr>
      </w:pPr>
      <w:r w:rsidRPr="00C664D2">
        <w:rPr>
          <w:rFonts w:ascii="仿宋_GB2312" w:eastAsia="仿宋_GB2312" w:hAnsi="仿宋_GB2312" w:cs="仿宋_GB2312" w:hint="eastAsia"/>
          <w:sz w:val="32"/>
          <w:szCs w:val="32"/>
        </w:rPr>
        <w:t>反映本部门当年全部收入。</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年预算收入</w:t>
      </w:r>
      <w:r w:rsidRPr="00C664D2">
        <w:rPr>
          <w:rFonts w:ascii="仿宋_GB2312" w:eastAsia="仿宋_GB2312" w:hAnsi="仿宋_GB2312" w:cs="仿宋_GB2312"/>
          <w:sz w:val="32"/>
          <w:szCs w:val="32"/>
        </w:rPr>
        <w:t>5465.53</w:t>
      </w:r>
      <w:r w:rsidRPr="00C664D2">
        <w:rPr>
          <w:rFonts w:ascii="仿宋_GB2312" w:eastAsia="仿宋_GB2312" w:hAnsi="仿宋_GB2312" w:cs="仿宋_GB2312" w:hint="eastAsia"/>
          <w:sz w:val="32"/>
          <w:szCs w:val="32"/>
        </w:rPr>
        <w:t>万元，其中：一般公共预算收入</w:t>
      </w:r>
      <w:r w:rsidRPr="00C664D2">
        <w:rPr>
          <w:rFonts w:ascii="仿宋_GB2312" w:eastAsia="仿宋_GB2312" w:hAnsi="仿宋_GB2312" w:cs="仿宋_GB2312"/>
          <w:sz w:val="32"/>
          <w:szCs w:val="32"/>
        </w:rPr>
        <w:t>261.53</w:t>
      </w:r>
      <w:r w:rsidRPr="00C664D2">
        <w:rPr>
          <w:rFonts w:ascii="仿宋_GB2312" w:eastAsia="仿宋_GB2312" w:hAnsi="仿宋_GB2312" w:cs="仿宋_GB2312" w:hint="eastAsia"/>
          <w:sz w:val="32"/>
          <w:szCs w:val="32"/>
        </w:rPr>
        <w:t>万元，政府性基金预算收入</w:t>
      </w:r>
      <w:r w:rsidRPr="00C664D2">
        <w:rPr>
          <w:rFonts w:ascii="仿宋_GB2312" w:eastAsia="仿宋_GB2312" w:hAnsi="仿宋_GB2312" w:cs="仿宋_GB2312"/>
          <w:sz w:val="32"/>
          <w:szCs w:val="32"/>
        </w:rPr>
        <w:t>5204</w:t>
      </w:r>
      <w:r w:rsidRPr="00C664D2">
        <w:rPr>
          <w:rFonts w:ascii="仿宋_GB2312" w:eastAsia="仿宋_GB2312" w:hAnsi="仿宋_GB2312" w:cs="仿宋_GB2312" w:hint="eastAsia"/>
          <w:sz w:val="32"/>
          <w:szCs w:val="32"/>
        </w:rPr>
        <w:t>万元国有资本经营收入</w:t>
      </w:r>
      <w:r w:rsidRPr="00C664D2">
        <w:rPr>
          <w:rFonts w:ascii="仿宋_GB2312" w:eastAsia="仿宋_GB2312" w:hAnsi="仿宋_GB2312" w:cs="仿宋_GB2312"/>
          <w:sz w:val="32"/>
          <w:szCs w:val="32"/>
        </w:rPr>
        <w:t>0</w:t>
      </w:r>
      <w:r w:rsidRPr="00C664D2">
        <w:rPr>
          <w:rFonts w:ascii="仿宋_GB2312" w:eastAsia="仿宋_GB2312" w:hAnsi="仿宋_GB2312" w:cs="仿宋_GB2312" w:hint="eastAsia"/>
          <w:sz w:val="32"/>
          <w:szCs w:val="32"/>
        </w:rPr>
        <w:t>万元，事业收入</w:t>
      </w:r>
      <w:r w:rsidRPr="00C664D2">
        <w:rPr>
          <w:rFonts w:ascii="仿宋_GB2312" w:eastAsia="仿宋_GB2312" w:hAnsi="仿宋_GB2312" w:cs="仿宋_GB2312"/>
          <w:sz w:val="32"/>
          <w:szCs w:val="32"/>
        </w:rPr>
        <w:t>0</w:t>
      </w:r>
      <w:r w:rsidRPr="00C664D2">
        <w:rPr>
          <w:rFonts w:ascii="仿宋_GB2312" w:eastAsia="仿宋_GB2312" w:hAnsi="仿宋_GB2312" w:cs="仿宋_GB2312" w:hint="eastAsia"/>
          <w:sz w:val="32"/>
          <w:szCs w:val="32"/>
        </w:rPr>
        <w:t>万元，其他收入</w:t>
      </w:r>
      <w:r w:rsidRPr="00C664D2">
        <w:rPr>
          <w:rFonts w:ascii="仿宋_GB2312" w:eastAsia="仿宋_GB2312" w:hAnsi="仿宋_GB2312" w:cs="仿宋_GB2312"/>
          <w:sz w:val="32"/>
          <w:szCs w:val="32"/>
        </w:rPr>
        <w:t>0</w:t>
      </w:r>
      <w:r w:rsidRPr="00C664D2">
        <w:rPr>
          <w:rFonts w:ascii="仿宋_GB2312" w:eastAsia="仿宋_GB2312" w:hAnsi="仿宋_GB2312" w:cs="仿宋_GB2312" w:hint="eastAsia"/>
          <w:sz w:val="32"/>
          <w:szCs w:val="32"/>
        </w:rPr>
        <w:t>万元。</w:t>
      </w:r>
    </w:p>
    <w:p w:rsidR="00E4601C" w:rsidRPr="00B40E54" w:rsidRDefault="00E4601C" w:rsidP="009271DC">
      <w:pPr>
        <w:ind w:firstLineChars="196" w:firstLine="630"/>
        <w:rPr>
          <w:rFonts w:ascii="楷体" w:eastAsia="楷体" w:hAnsi="楷体" w:cs="Times New Roman"/>
          <w:b/>
          <w:bCs/>
          <w:sz w:val="32"/>
          <w:szCs w:val="32"/>
        </w:rPr>
      </w:pPr>
      <w:r w:rsidRPr="00B40E54">
        <w:rPr>
          <w:rFonts w:ascii="楷体" w:eastAsia="楷体" w:hAnsi="楷体" w:cs="楷体"/>
          <w:b/>
          <w:bCs/>
          <w:sz w:val="32"/>
          <w:szCs w:val="32"/>
        </w:rPr>
        <w:t>2</w:t>
      </w:r>
      <w:r w:rsidRPr="00B40E54">
        <w:rPr>
          <w:rFonts w:ascii="楷体" w:eastAsia="楷体" w:hAnsi="楷体" w:cs="楷体" w:hint="eastAsia"/>
          <w:b/>
          <w:bCs/>
          <w:sz w:val="32"/>
          <w:szCs w:val="32"/>
        </w:rPr>
        <w:t>、支出说明</w:t>
      </w:r>
    </w:p>
    <w:p w:rsidR="00E4601C" w:rsidRPr="00077A2E" w:rsidRDefault="00E4601C" w:rsidP="009271DC">
      <w:pPr>
        <w:ind w:firstLineChars="200" w:firstLine="640"/>
        <w:rPr>
          <w:rFonts w:ascii="仿宋" w:eastAsia="仿宋" w:hAnsi="仿宋" w:cs="Times New Roman"/>
          <w:sz w:val="32"/>
          <w:szCs w:val="32"/>
        </w:rPr>
      </w:pPr>
      <w:r w:rsidRPr="00C664D2">
        <w:rPr>
          <w:rFonts w:ascii="仿宋_GB2312" w:eastAsia="仿宋_GB2312" w:hAnsi="仿宋_GB2312" w:cs="仿宋_GB2312" w:hint="eastAsia"/>
          <w:sz w:val="32"/>
          <w:szCs w:val="32"/>
        </w:rPr>
        <w:t>收支预算总表支出栏、基本支出表、项目支出表按经济分类和支出功能分类科目编制，反映</w:t>
      </w:r>
      <w:r w:rsidRPr="001166E1">
        <w:rPr>
          <w:rFonts w:ascii="仿宋_GB2312" w:eastAsia="仿宋_GB2312" w:hAnsi="仿宋_GB2312" w:cs="仿宋_GB2312" w:hint="eastAsia"/>
          <w:sz w:val="32"/>
          <w:szCs w:val="32"/>
        </w:rPr>
        <w:t>霸州津霸经济开发区管理委员会</w:t>
      </w:r>
      <w:r>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年度部门预算中支出预算的总体情况。</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年支出预算</w:t>
      </w:r>
      <w:r w:rsidRPr="00C664D2">
        <w:rPr>
          <w:rFonts w:ascii="仿宋_GB2312" w:eastAsia="仿宋_GB2312" w:hAnsi="仿宋_GB2312" w:cs="仿宋_GB2312"/>
          <w:sz w:val="32"/>
          <w:szCs w:val="32"/>
        </w:rPr>
        <w:t>5465.53</w:t>
      </w:r>
      <w:r w:rsidRPr="00C664D2">
        <w:rPr>
          <w:rFonts w:ascii="仿宋_GB2312" w:eastAsia="仿宋_GB2312" w:hAnsi="仿宋_GB2312" w:cs="仿宋_GB2312" w:hint="eastAsia"/>
          <w:sz w:val="32"/>
          <w:szCs w:val="32"/>
        </w:rPr>
        <w:t>万元，其中基本支出</w:t>
      </w:r>
      <w:r w:rsidRPr="00C664D2">
        <w:rPr>
          <w:rFonts w:ascii="仿宋_GB2312" w:eastAsia="仿宋_GB2312" w:hAnsi="仿宋_GB2312" w:cs="仿宋_GB2312"/>
          <w:sz w:val="32"/>
          <w:szCs w:val="32"/>
        </w:rPr>
        <w:t>160.27</w:t>
      </w:r>
      <w:r w:rsidRPr="00C664D2">
        <w:rPr>
          <w:rFonts w:ascii="仿宋_GB2312" w:eastAsia="仿宋_GB2312" w:hAnsi="仿宋_GB2312" w:cs="仿宋_GB2312" w:hint="eastAsia"/>
          <w:sz w:val="32"/>
          <w:szCs w:val="32"/>
        </w:rPr>
        <w:t>万元，包括人员经费和日常公用经费；项目支出</w:t>
      </w:r>
      <w:r w:rsidRPr="00C664D2">
        <w:rPr>
          <w:rFonts w:ascii="仿宋_GB2312" w:eastAsia="仿宋_GB2312" w:hAnsi="仿宋_GB2312" w:cs="仿宋_GB2312"/>
          <w:sz w:val="32"/>
          <w:szCs w:val="32"/>
        </w:rPr>
        <w:t>5305.26</w:t>
      </w:r>
      <w:r>
        <w:rPr>
          <w:rFonts w:ascii="仿宋_GB2312" w:eastAsia="仿宋_GB2312" w:hAnsi="仿宋_GB2312" w:cs="仿宋_GB2312" w:hint="eastAsia"/>
          <w:sz w:val="32"/>
          <w:szCs w:val="32"/>
        </w:rPr>
        <w:t>万元，均为</w:t>
      </w:r>
      <w:r w:rsidRPr="00C664D2">
        <w:rPr>
          <w:rFonts w:ascii="仿宋_GB2312" w:eastAsia="仿宋_GB2312" w:hAnsi="仿宋_GB2312" w:cs="仿宋_GB2312" w:hint="eastAsia"/>
          <w:sz w:val="32"/>
          <w:szCs w:val="32"/>
        </w:rPr>
        <w:t>本级支出，主要为招商引资经费、环境卫生整治、区域委托清算款等。</w:t>
      </w:r>
    </w:p>
    <w:p w:rsidR="00E4601C" w:rsidRPr="00B40E54" w:rsidRDefault="00E4601C" w:rsidP="009271DC">
      <w:pPr>
        <w:ind w:firstLineChars="196" w:firstLine="630"/>
        <w:rPr>
          <w:rFonts w:ascii="楷体" w:eastAsia="楷体" w:hAnsi="楷体" w:cs="Times New Roman"/>
          <w:b/>
          <w:bCs/>
          <w:sz w:val="32"/>
          <w:szCs w:val="32"/>
        </w:rPr>
      </w:pPr>
      <w:r w:rsidRPr="00B40E54">
        <w:rPr>
          <w:rFonts w:ascii="楷体" w:eastAsia="楷体" w:hAnsi="楷体" w:cs="楷体"/>
          <w:b/>
          <w:bCs/>
          <w:sz w:val="32"/>
          <w:szCs w:val="32"/>
        </w:rPr>
        <w:t>3</w:t>
      </w:r>
      <w:r w:rsidRPr="00B40E54">
        <w:rPr>
          <w:rFonts w:ascii="楷体" w:eastAsia="楷体" w:hAnsi="楷体" w:cs="楷体" w:hint="eastAsia"/>
          <w:b/>
          <w:bCs/>
          <w:sz w:val="32"/>
          <w:szCs w:val="32"/>
        </w:rPr>
        <w:t>、比上年增减情况</w:t>
      </w:r>
    </w:p>
    <w:p w:rsidR="00E4601C" w:rsidRPr="00077A2E" w:rsidRDefault="00E4601C" w:rsidP="009271DC">
      <w:pPr>
        <w:ind w:firstLineChars="200" w:firstLine="640"/>
        <w:rPr>
          <w:rFonts w:ascii="仿宋" w:eastAsia="仿宋" w:hAnsi="仿宋" w:cs="Times New Roman"/>
          <w:sz w:val="32"/>
          <w:szCs w:val="32"/>
        </w:rPr>
      </w:pP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年预算收支安排</w:t>
      </w:r>
      <w:r w:rsidRPr="00C664D2">
        <w:rPr>
          <w:rFonts w:ascii="仿宋_GB2312" w:eastAsia="仿宋_GB2312" w:hAnsi="仿宋_GB2312" w:cs="仿宋_GB2312"/>
          <w:sz w:val="32"/>
          <w:szCs w:val="32"/>
        </w:rPr>
        <w:t>5465.53</w:t>
      </w:r>
      <w:r w:rsidRPr="00C664D2">
        <w:rPr>
          <w:rFonts w:ascii="仿宋_GB2312" w:eastAsia="仿宋_GB2312" w:hAnsi="仿宋_GB2312" w:cs="仿宋_GB2312" w:hint="eastAsia"/>
          <w:sz w:val="32"/>
          <w:szCs w:val="32"/>
        </w:rPr>
        <w:t>万元，较</w:t>
      </w:r>
      <w:r w:rsidRPr="00C664D2">
        <w:rPr>
          <w:rFonts w:ascii="仿宋_GB2312" w:eastAsia="仿宋_GB2312" w:hAnsi="仿宋_GB2312" w:cs="仿宋_GB2312"/>
          <w:sz w:val="32"/>
          <w:szCs w:val="32"/>
        </w:rPr>
        <w:t>2016</w:t>
      </w:r>
      <w:r w:rsidRPr="00C664D2">
        <w:rPr>
          <w:rFonts w:ascii="仿宋_GB2312" w:eastAsia="仿宋_GB2312" w:hAnsi="仿宋_GB2312" w:cs="仿宋_GB2312" w:hint="eastAsia"/>
          <w:sz w:val="32"/>
          <w:szCs w:val="32"/>
        </w:rPr>
        <w:t>年预算增加</w:t>
      </w:r>
      <w:r w:rsidRPr="00C664D2">
        <w:rPr>
          <w:rFonts w:ascii="仿宋_GB2312" w:eastAsia="仿宋_GB2312" w:hAnsi="仿宋_GB2312" w:cs="仿宋_GB2312"/>
          <w:sz w:val="32"/>
          <w:szCs w:val="32"/>
        </w:rPr>
        <w:t>5245.10</w:t>
      </w:r>
      <w:r w:rsidRPr="00C664D2">
        <w:rPr>
          <w:rFonts w:ascii="仿宋_GB2312" w:eastAsia="仿宋_GB2312" w:hAnsi="仿宋_GB2312" w:cs="仿宋_GB2312" w:hint="eastAsia"/>
          <w:sz w:val="32"/>
          <w:szCs w:val="32"/>
        </w:rPr>
        <w:t>万元，其中：基本支出增加</w:t>
      </w:r>
      <w:r w:rsidRPr="00C664D2">
        <w:rPr>
          <w:rFonts w:ascii="仿宋_GB2312" w:eastAsia="仿宋_GB2312" w:hAnsi="仿宋_GB2312" w:cs="仿宋_GB2312"/>
          <w:sz w:val="32"/>
          <w:szCs w:val="32"/>
        </w:rPr>
        <w:t>41.10</w:t>
      </w:r>
      <w:r w:rsidRPr="00C664D2">
        <w:rPr>
          <w:rFonts w:ascii="仿宋_GB2312" w:eastAsia="仿宋_GB2312" w:hAnsi="仿宋_GB2312" w:cs="仿宋_GB2312" w:hint="eastAsia"/>
          <w:sz w:val="32"/>
          <w:szCs w:val="32"/>
        </w:rPr>
        <w:t>万元，主要为增加人员经费支出；项目支出增加</w:t>
      </w:r>
      <w:r w:rsidRPr="00C664D2">
        <w:rPr>
          <w:rFonts w:ascii="仿宋_GB2312" w:eastAsia="仿宋_GB2312" w:hAnsi="仿宋_GB2312" w:cs="仿宋_GB2312"/>
          <w:sz w:val="32"/>
          <w:szCs w:val="32"/>
        </w:rPr>
        <w:t>5204</w:t>
      </w:r>
      <w:r w:rsidRPr="00C664D2">
        <w:rPr>
          <w:rFonts w:ascii="仿宋_GB2312" w:eastAsia="仿宋_GB2312" w:hAnsi="仿宋_GB2312" w:cs="仿宋_GB2312" w:hint="eastAsia"/>
          <w:sz w:val="32"/>
          <w:szCs w:val="32"/>
        </w:rPr>
        <w:t>万元，主要为区域委托清算款项目支出。</w:t>
      </w:r>
    </w:p>
    <w:p w:rsidR="00E4601C" w:rsidRDefault="00E4601C" w:rsidP="009271DC">
      <w:pPr>
        <w:autoSpaceDE w:val="0"/>
        <w:autoSpaceDN w:val="0"/>
        <w:adjustRightInd w:val="0"/>
        <w:ind w:firstLineChars="200" w:firstLine="640"/>
        <w:jc w:val="left"/>
        <w:rPr>
          <w:rFonts w:ascii="黑体" w:eastAsia="黑体" w:hAnsi="黑体" w:cs="Times New Roman"/>
          <w:sz w:val="32"/>
          <w:szCs w:val="32"/>
        </w:rPr>
      </w:pPr>
      <w:r w:rsidRPr="008E4261">
        <w:rPr>
          <w:rFonts w:ascii="黑体" w:eastAsia="黑体" w:hAnsi="黑体" w:cs="黑体" w:hint="eastAsia"/>
          <w:sz w:val="32"/>
          <w:szCs w:val="32"/>
        </w:rPr>
        <w:t>三、机关运行经费安排情况</w:t>
      </w:r>
    </w:p>
    <w:p w:rsidR="00E4601C" w:rsidRPr="00C664D2" w:rsidRDefault="00E4601C" w:rsidP="009271DC">
      <w:pPr>
        <w:ind w:firstLineChars="200" w:firstLine="640"/>
        <w:rPr>
          <w:rFonts w:ascii="仿宋_GB2312" w:eastAsia="仿宋_GB2312" w:hAnsi="仿宋_GB2312" w:cs="Times New Roman"/>
          <w:sz w:val="32"/>
          <w:szCs w:val="32"/>
        </w:rPr>
      </w:pPr>
      <w:r w:rsidRPr="00C664D2">
        <w:rPr>
          <w:rFonts w:ascii="仿宋_GB2312" w:eastAsia="仿宋_GB2312" w:hAnsi="仿宋_GB2312" w:cs="仿宋_GB2312" w:hint="eastAsia"/>
          <w:sz w:val="32"/>
          <w:szCs w:val="32"/>
        </w:rPr>
        <w:t>机关运行经费共计安排</w:t>
      </w:r>
      <w:r w:rsidRPr="00C664D2">
        <w:rPr>
          <w:rFonts w:ascii="仿宋_GB2312" w:eastAsia="仿宋_GB2312" w:hAnsi="仿宋_GB2312" w:cs="仿宋_GB2312"/>
          <w:sz w:val="32"/>
          <w:szCs w:val="32"/>
        </w:rPr>
        <w:t>26.79</w:t>
      </w:r>
      <w:r w:rsidRPr="00C664D2">
        <w:rPr>
          <w:rFonts w:ascii="仿宋_GB2312" w:eastAsia="仿宋_GB2312" w:hAnsi="仿宋_GB2312" w:cs="仿宋_GB2312" w:hint="eastAsia"/>
          <w:sz w:val="32"/>
          <w:szCs w:val="32"/>
        </w:rPr>
        <w:t>万元，主要用于</w:t>
      </w:r>
      <w:r w:rsidRPr="001E16A6">
        <w:rPr>
          <w:rFonts w:ascii="仿宋_GB2312" w:eastAsia="仿宋_GB2312" w:hAnsi="仿宋_GB2312" w:cs="仿宋_GB2312" w:hint="eastAsia"/>
          <w:sz w:val="32"/>
          <w:szCs w:val="32"/>
        </w:rPr>
        <w:t>霸州津霸经济开发区管理委员会</w:t>
      </w:r>
      <w:r w:rsidRPr="00C664D2">
        <w:rPr>
          <w:rFonts w:ascii="仿宋_GB2312" w:eastAsia="仿宋_GB2312" w:hAnsi="仿宋_GB2312" w:cs="仿宋_GB2312" w:hint="eastAsia"/>
          <w:sz w:val="32"/>
          <w:szCs w:val="32"/>
        </w:rPr>
        <w:t>办公区的日常维修、办公用房水电费、办公用房取暖费等日常运行支出。</w:t>
      </w:r>
    </w:p>
    <w:p w:rsidR="00E4601C" w:rsidRDefault="00E4601C" w:rsidP="009271DC">
      <w:pPr>
        <w:autoSpaceDE w:val="0"/>
        <w:autoSpaceDN w:val="0"/>
        <w:adjustRightInd w:val="0"/>
        <w:ind w:firstLineChars="200" w:firstLine="640"/>
        <w:jc w:val="left"/>
        <w:rPr>
          <w:rFonts w:ascii="黑体" w:eastAsia="黑体" w:hAnsi="黑体" w:cs="Times New Roman"/>
          <w:sz w:val="32"/>
          <w:szCs w:val="32"/>
        </w:rPr>
      </w:pPr>
      <w:r w:rsidRPr="008E4261">
        <w:rPr>
          <w:rFonts w:ascii="黑体" w:eastAsia="黑体" w:hAnsi="黑体" w:cs="黑体" w:hint="eastAsia"/>
          <w:sz w:val="32"/>
          <w:szCs w:val="32"/>
        </w:rPr>
        <w:t>四、财政拨款“三公”经费预算情况</w:t>
      </w:r>
      <w:r>
        <w:rPr>
          <w:rFonts w:ascii="黑体" w:eastAsia="黑体" w:hAnsi="黑体" w:cs="黑体" w:hint="eastAsia"/>
          <w:sz w:val="32"/>
          <w:szCs w:val="32"/>
        </w:rPr>
        <w:t>及增减变化原因</w:t>
      </w:r>
    </w:p>
    <w:p w:rsidR="00E4601C" w:rsidRPr="00077A2E" w:rsidRDefault="00E4601C" w:rsidP="009271DC">
      <w:pPr>
        <w:ind w:firstLineChars="200" w:firstLine="640"/>
        <w:rPr>
          <w:rFonts w:ascii="仿宋" w:eastAsia="仿宋" w:hAnsi="仿宋" w:cs="Times New Roman"/>
          <w:sz w:val="32"/>
          <w:szCs w:val="32"/>
        </w:rPr>
      </w:pP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年，我部门“三公”经费预算安排</w:t>
      </w:r>
      <w:r w:rsidRPr="00C664D2">
        <w:rPr>
          <w:rFonts w:ascii="仿宋_GB2312" w:eastAsia="仿宋_GB2312" w:hAnsi="仿宋_GB2312" w:cs="仿宋_GB2312"/>
          <w:sz w:val="32"/>
          <w:szCs w:val="32"/>
        </w:rPr>
        <w:t>7.96</w:t>
      </w:r>
      <w:r w:rsidRPr="00C664D2">
        <w:rPr>
          <w:rFonts w:ascii="仿宋_GB2312" w:eastAsia="仿宋_GB2312" w:hAnsi="仿宋_GB2312" w:cs="仿宋_GB2312" w:hint="eastAsia"/>
          <w:sz w:val="32"/>
          <w:szCs w:val="32"/>
        </w:rPr>
        <w:t>万元，其中因公出国（境）费</w:t>
      </w:r>
      <w:r w:rsidRPr="00C664D2">
        <w:rPr>
          <w:rFonts w:ascii="仿宋_GB2312" w:eastAsia="仿宋_GB2312" w:hAnsi="仿宋_GB2312" w:cs="仿宋_GB2312"/>
          <w:sz w:val="32"/>
          <w:szCs w:val="32"/>
        </w:rPr>
        <w:t>0</w:t>
      </w:r>
      <w:r w:rsidRPr="00C664D2">
        <w:rPr>
          <w:rFonts w:ascii="仿宋_GB2312" w:eastAsia="仿宋_GB2312" w:hAnsi="仿宋_GB2312" w:cs="仿宋_GB2312" w:hint="eastAsia"/>
          <w:sz w:val="32"/>
          <w:szCs w:val="32"/>
        </w:rPr>
        <w:t>万元；公务用车购置及运维费</w:t>
      </w:r>
      <w:r>
        <w:rPr>
          <w:rFonts w:ascii="仿宋_GB2312" w:eastAsia="仿宋_GB2312" w:hAnsi="仿宋_GB2312" w:cs="仿宋_GB2312"/>
          <w:sz w:val="32"/>
          <w:szCs w:val="32"/>
        </w:rPr>
        <w:t>7.5</w:t>
      </w:r>
      <w:r w:rsidRPr="00C664D2">
        <w:rPr>
          <w:rFonts w:ascii="仿宋_GB2312" w:eastAsia="仿宋_GB2312" w:hAnsi="仿宋_GB2312" w:cs="仿宋_GB2312" w:hint="eastAsia"/>
          <w:sz w:val="32"/>
          <w:szCs w:val="32"/>
        </w:rPr>
        <w:t>万元（其中：公务用车购置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sidRPr="00C664D2">
        <w:rPr>
          <w:rFonts w:ascii="仿宋_GB2312" w:eastAsia="仿宋_GB2312" w:hAnsi="仿宋_GB2312" w:cs="仿宋_GB2312" w:hint="eastAsia"/>
          <w:sz w:val="32"/>
          <w:szCs w:val="32"/>
        </w:rPr>
        <w:t>公务用车运行费</w:t>
      </w:r>
      <w:r>
        <w:rPr>
          <w:rFonts w:ascii="仿宋_GB2312" w:eastAsia="仿宋_GB2312" w:hAnsi="仿宋_GB2312" w:cs="仿宋_GB2312"/>
          <w:sz w:val="32"/>
          <w:szCs w:val="32"/>
        </w:rPr>
        <w:t>7.5</w:t>
      </w:r>
      <w:r w:rsidRPr="00C664D2">
        <w:rPr>
          <w:rFonts w:ascii="仿宋_GB2312" w:eastAsia="仿宋_GB2312" w:hAnsi="仿宋_GB2312" w:cs="仿宋_GB2312" w:hint="eastAsia"/>
          <w:sz w:val="32"/>
          <w:szCs w:val="32"/>
        </w:rPr>
        <w:t>万元</w:t>
      </w:r>
      <w:r w:rsidRPr="00C664D2">
        <w:rPr>
          <w:rFonts w:ascii="仿宋_GB2312" w:eastAsia="仿宋_GB2312" w:hAnsi="仿宋_GB2312" w:cs="仿宋_GB2312"/>
          <w:sz w:val="32"/>
          <w:szCs w:val="32"/>
        </w:rPr>
        <w:t>)</w:t>
      </w:r>
      <w:r w:rsidRPr="00C664D2">
        <w:rPr>
          <w:rFonts w:ascii="仿宋_GB2312" w:eastAsia="仿宋_GB2312" w:hAnsi="仿宋_GB2312" w:cs="仿宋_GB2312" w:hint="eastAsia"/>
          <w:sz w:val="32"/>
          <w:szCs w:val="32"/>
        </w:rPr>
        <w:t>；公务接待费</w:t>
      </w:r>
      <w:r w:rsidRPr="00C664D2">
        <w:rPr>
          <w:rFonts w:ascii="仿宋_GB2312" w:eastAsia="仿宋_GB2312" w:hAnsi="仿宋_GB2312" w:cs="仿宋_GB2312"/>
          <w:sz w:val="32"/>
          <w:szCs w:val="32"/>
        </w:rPr>
        <w:t>0.46</w:t>
      </w:r>
      <w:r w:rsidRPr="00C664D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C664D2">
        <w:rPr>
          <w:rFonts w:ascii="仿宋_GB2312" w:eastAsia="仿宋_GB2312" w:hAnsi="仿宋_GB2312" w:cs="仿宋_GB2312" w:hint="eastAsia"/>
          <w:sz w:val="32"/>
          <w:szCs w:val="32"/>
        </w:rPr>
        <w:t>与</w:t>
      </w:r>
      <w:r>
        <w:rPr>
          <w:rFonts w:ascii="仿宋_GB2312" w:eastAsia="仿宋_GB2312" w:hAnsi="仿宋_GB2312" w:cs="仿宋_GB2312"/>
          <w:sz w:val="32"/>
          <w:szCs w:val="32"/>
        </w:rPr>
        <w:t>2016</w:t>
      </w:r>
      <w:r w:rsidRPr="00C664D2">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2.5</w:t>
      </w:r>
      <w:r w:rsidRPr="00C664D2">
        <w:rPr>
          <w:rFonts w:ascii="仿宋_GB2312" w:eastAsia="仿宋_GB2312" w:hAnsi="仿宋_GB2312" w:cs="仿宋_GB2312"/>
          <w:sz w:val="32"/>
          <w:szCs w:val="32"/>
        </w:rPr>
        <w:t>9</w:t>
      </w:r>
      <w:r w:rsidRPr="00C664D2">
        <w:rPr>
          <w:rFonts w:ascii="仿宋_GB2312" w:eastAsia="仿宋_GB2312" w:hAnsi="仿宋_GB2312" w:cs="仿宋_GB2312" w:hint="eastAsia"/>
          <w:sz w:val="32"/>
          <w:szCs w:val="32"/>
        </w:rPr>
        <w:t>万元，主要原因</w:t>
      </w:r>
      <w:r w:rsidRPr="00A63A61">
        <w:rPr>
          <w:rFonts w:ascii="仿宋" w:eastAsia="仿宋" w:hAnsi="仿宋" w:cs="仿宋" w:hint="eastAsia"/>
          <w:sz w:val="32"/>
          <w:szCs w:val="32"/>
        </w:rPr>
        <w:t>是</w:t>
      </w:r>
      <w:r>
        <w:rPr>
          <w:rFonts w:ascii="仿宋" w:eastAsia="仿宋" w:hAnsi="仿宋" w:cs="仿宋" w:hint="eastAsia"/>
          <w:sz w:val="32"/>
          <w:szCs w:val="32"/>
        </w:rPr>
        <w:t>车辆编制增加，</w:t>
      </w:r>
      <w:r w:rsidRPr="00A63A61">
        <w:rPr>
          <w:rFonts w:ascii="仿宋" w:eastAsia="仿宋" w:hAnsi="仿宋" w:cs="仿宋" w:hint="eastAsia"/>
          <w:sz w:val="32"/>
          <w:szCs w:val="32"/>
        </w:rPr>
        <w:t>公务接待费计提</w:t>
      </w:r>
      <w:r>
        <w:rPr>
          <w:rFonts w:ascii="仿宋" w:eastAsia="仿宋" w:hAnsi="仿宋" w:cs="仿宋" w:hint="eastAsia"/>
          <w:sz w:val="32"/>
          <w:szCs w:val="32"/>
        </w:rPr>
        <w:t>基数增加</w:t>
      </w:r>
      <w:r w:rsidRPr="00A63A61">
        <w:rPr>
          <w:rFonts w:ascii="仿宋" w:eastAsia="仿宋" w:hAnsi="仿宋" w:cs="仿宋" w:hint="eastAsia"/>
          <w:sz w:val="32"/>
          <w:szCs w:val="32"/>
        </w:rPr>
        <w:t>。</w:t>
      </w:r>
    </w:p>
    <w:p w:rsidR="00E4601C" w:rsidRPr="00075D5F" w:rsidRDefault="00E4601C" w:rsidP="009271DC">
      <w:pPr>
        <w:autoSpaceDE w:val="0"/>
        <w:autoSpaceDN w:val="0"/>
        <w:adjustRightInd w:val="0"/>
        <w:ind w:firstLineChars="200" w:firstLine="640"/>
        <w:jc w:val="left"/>
        <w:rPr>
          <w:rFonts w:ascii="黑体" w:eastAsia="黑体" w:hAnsi="黑体" w:cs="Times New Roman"/>
          <w:sz w:val="32"/>
          <w:szCs w:val="32"/>
        </w:rPr>
      </w:pPr>
      <w:r w:rsidRPr="00075D5F">
        <w:rPr>
          <w:rFonts w:ascii="黑体" w:eastAsia="黑体" w:hAnsi="黑体" w:cs="黑体" w:hint="eastAsia"/>
          <w:sz w:val="32"/>
          <w:szCs w:val="32"/>
        </w:rPr>
        <w:t>五、绩效预算信息</w:t>
      </w:r>
    </w:p>
    <w:p w:rsidR="00E4601C" w:rsidRPr="00147549" w:rsidRDefault="00E4601C" w:rsidP="00301AD4">
      <w:pPr>
        <w:spacing w:line="580" w:lineRule="atLeast"/>
        <w:ind w:firstLineChars="200" w:firstLine="643"/>
        <w:rPr>
          <w:rFonts w:ascii="楷体_GB2312" w:eastAsia="楷体_GB2312" w:hAnsi="楷体" w:cs="Times New Roman"/>
          <w:b/>
          <w:bCs/>
          <w:sz w:val="32"/>
          <w:szCs w:val="32"/>
        </w:rPr>
      </w:pPr>
      <w:bookmarkStart w:id="0" w:name="_Toc471398463"/>
      <w:r w:rsidRPr="00672448">
        <w:rPr>
          <w:rFonts w:ascii="楷体" w:eastAsia="楷体" w:hAnsi="楷体" w:cs="楷体" w:hint="eastAsia"/>
          <w:b/>
          <w:bCs/>
          <w:sz w:val="32"/>
          <w:szCs w:val="32"/>
        </w:rPr>
        <w:t>总体绩效目标：</w:t>
      </w:r>
    </w:p>
    <w:p w:rsidR="00E4601C" w:rsidRPr="00077A2E" w:rsidRDefault="00E4601C" w:rsidP="009271DC">
      <w:pPr>
        <w:ind w:firstLineChars="196" w:firstLine="630"/>
        <w:rPr>
          <w:rFonts w:ascii="仿宋" w:eastAsia="仿宋" w:hAnsi="仿宋" w:cs="Times New Roman"/>
          <w:sz w:val="32"/>
          <w:szCs w:val="32"/>
        </w:rPr>
      </w:pPr>
      <w:r w:rsidRPr="00077A2E">
        <w:rPr>
          <w:rFonts w:ascii="仿宋" w:eastAsia="仿宋" w:hAnsi="仿宋" w:cs="仿宋"/>
          <w:b/>
          <w:bCs/>
          <w:sz w:val="32"/>
          <w:szCs w:val="32"/>
        </w:rPr>
        <w:t>1</w:t>
      </w:r>
      <w:r w:rsidRPr="00077A2E">
        <w:rPr>
          <w:rFonts w:ascii="仿宋" w:eastAsia="仿宋" w:hAnsi="仿宋" w:cs="仿宋" w:hint="eastAsia"/>
          <w:b/>
          <w:bCs/>
          <w:sz w:val="32"/>
          <w:szCs w:val="32"/>
        </w:rPr>
        <w:t>、基础设施建设方面</w:t>
      </w:r>
      <w:r w:rsidRPr="00077A2E">
        <w:rPr>
          <w:rFonts w:ascii="仿宋" w:eastAsia="仿宋" w:hAnsi="仿宋" w:cs="仿宋" w:hint="eastAsia"/>
          <w:sz w:val="32"/>
          <w:szCs w:val="32"/>
        </w:rPr>
        <w:t>：</w:t>
      </w:r>
      <w:r w:rsidRPr="00C664D2">
        <w:rPr>
          <w:rFonts w:ascii="仿宋_GB2312" w:eastAsia="仿宋_GB2312" w:hAnsi="仿宋_GB2312" w:cs="仿宋_GB2312" w:hint="eastAsia"/>
          <w:sz w:val="32"/>
          <w:szCs w:val="32"/>
        </w:rPr>
        <w:t>将开发区内码扬线、津港道、友谊路三条道路中修工程列入</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霸州市重点工程。同时，积极引导、督促廊坊津港投资公司加大基础设施建设投入，不断完善给排水、电、气、道路、通讯等基础设施网络建设，完成污水处理厂在线监测和验收，督促污水管网早日竣工投入使用，做好环形道路美化、亮化、绿化工程，增强项目承载能力。请示市政府协调规划局、国土局、发改局等相关部门，在开发区区域内实现多规合一，为开发区及扬芬港镇后续发展起到指导性作用。在开发区各项规划未统一的空档期内，对涉及津霸开发区</w:t>
      </w:r>
      <w:r w:rsidRPr="00C664D2">
        <w:rPr>
          <w:rFonts w:ascii="仿宋_GB2312" w:eastAsia="仿宋_GB2312" w:hAnsi="仿宋_GB2312" w:cs="仿宋_GB2312"/>
          <w:sz w:val="32"/>
          <w:szCs w:val="32"/>
        </w:rPr>
        <w:t>34.2</w:t>
      </w:r>
      <w:r w:rsidRPr="00C664D2">
        <w:rPr>
          <w:rFonts w:ascii="仿宋_GB2312" w:eastAsia="仿宋_GB2312" w:hAnsi="仿宋_GB2312" w:cs="仿宋_GB2312" w:hint="eastAsia"/>
          <w:sz w:val="32"/>
          <w:szCs w:val="32"/>
        </w:rPr>
        <w:t>平方公里范围内的项目选址、规划审批事项，结合津霸开发区新编制的《霸州津霸经济开发区空间发展规划》执行。</w:t>
      </w:r>
    </w:p>
    <w:p w:rsidR="00E4601C" w:rsidRPr="00E8243C" w:rsidRDefault="00E4601C" w:rsidP="009271DC">
      <w:pPr>
        <w:ind w:firstLineChars="196" w:firstLine="630"/>
        <w:rPr>
          <w:rFonts w:ascii="仿宋_GB2312" w:eastAsia="仿宋_GB2312" w:hAnsi="仿宋_GB2312" w:cs="Times New Roman"/>
          <w:sz w:val="30"/>
          <w:szCs w:val="30"/>
        </w:rPr>
      </w:pPr>
      <w:r w:rsidRPr="00077A2E">
        <w:rPr>
          <w:rFonts w:ascii="仿宋" w:eastAsia="仿宋" w:hAnsi="仿宋" w:cs="仿宋"/>
          <w:b/>
          <w:bCs/>
          <w:sz w:val="32"/>
          <w:szCs w:val="32"/>
        </w:rPr>
        <w:t>2</w:t>
      </w:r>
      <w:r w:rsidRPr="00077A2E">
        <w:rPr>
          <w:rFonts w:ascii="仿宋" w:eastAsia="仿宋" w:hAnsi="仿宋" w:cs="仿宋" w:hint="eastAsia"/>
          <w:b/>
          <w:bCs/>
          <w:sz w:val="32"/>
          <w:szCs w:val="32"/>
        </w:rPr>
        <w:t>、招商引资方面</w:t>
      </w:r>
      <w:r w:rsidRPr="00077A2E">
        <w:rPr>
          <w:rFonts w:ascii="仿宋" w:eastAsia="仿宋" w:hAnsi="仿宋" w:cs="仿宋" w:hint="eastAsia"/>
          <w:sz w:val="32"/>
          <w:szCs w:val="32"/>
        </w:rPr>
        <w:t>：</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年，招商引资工作目标为促成一个</w:t>
      </w:r>
      <w:r w:rsidRPr="00C664D2">
        <w:rPr>
          <w:rFonts w:ascii="仿宋_GB2312" w:eastAsia="仿宋_GB2312" w:hAnsi="仿宋_GB2312" w:cs="仿宋_GB2312"/>
          <w:sz w:val="32"/>
          <w:szCs w:val="32"/>
        </w:rPr>
        <w:t>30</w:t>
      </w:r>
      <w:r w:rsidRPr="00C664D2">
        <w:rPr>
          <w:rFonts w:ascii="仿宋_GB2312" w:eastAsia="仿宋_GB2312" w:hAnsi="仿宋_GB2312" w:cs="仿宋_GB2312" w:hint="eastAsia"/>
          <w:sz w:val="32"/>
          <w:szCs w:val="32"/>
        </w:rPr>
        <w:t>亿元以上项目、两个</w:t>
      </w:r>
      <w:r w:rsidRPr="00C664D2">
        <w:rPr>
          <w:rFonts w:ascii="仿宋_GB2312" w:eastAsia="仿宋_GB2312" w:hAnsi="仿宋_GB2312" w:cs="仿宋_GB2312"/>
          <w:sz w:val="32"/>
          <w:szCs w:val="32"/>
        </w:rPr>
        <w:t>10</w:t>
      </w:r>
      <w:r w:rsidRPr="00C664D2">
        <w:rPr>
          <w:rFonts w:ascii="仿宋_GB2312" w:eastAsia="仿宋_GB2312" w:hAnsi="仿宋_GB2312" w:cs="仿宋_GB2312" w:hint="eastAsia"/>
          <w:sz w:val="32"/>
          <w:szCs w:val="32"/>
        </w:rPr>
        <w:t>亿元以上项目签约落地。继续寻找合适的招商代理合作商，谋划在京津地区开展专场投资环境推介会，并积极响应国家、省、市关于招商引资的相关政策精神，抓好落实，使津霸开发区的产业构建及升级提速再上新水平。</w:t>
      </w:r>
    </w:p>
    <w:p w:rsidR="00E4601C" w:rsidRPr="00077A2E" w:rsidRDefault="00E4601C" w:rsidP="009271DC">
      <w:pPr>
        <w:ind w:firstLineChars="196" w:firstLine="630"/>
        <w:rPr>
          <w:rFonts w:ascii="仿宋" w:eastAsia="仿宋" w:hAnsi="仿宋" w:cs="Times New Roman"/>
          <w:sz w:val="32"/>
          <w:szCs w:val="32"/>
        </w:rPr>
      </w:pPr>
      <w:r w:rsidRPr="00077A2E">
        <w:rPr>
          <w:rFonts w:ascii="仿宋" w:eastAsia="仿宋" w:hAnsi="仿宋" w:cs="仿宋"/>
          <w:b/>
          <w:bCs/>
          <w:sz w:val="32"/>
          <w:szCs w:val="32"/>
        </w:rPr>
        <w:t>3</w:t>
      </w:r>
      <w:r w:rsidRPr="00077A2E">
        <w:rPr>
          <w:rFonts w:ascii="仿宋" w:eastAsia="仿宋" w:hAnsi="仿宋" w:cs="仿宋" w:hint="eastAsia"/>
          <w:b/>
          <w:bCs/>
          <w:sz w:val="32"/>
          <w:szCs w:val="32"/>
        </w:rPr>
        <w:t>、项目建设方面：</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将按照定期巡访企业的工作制度，及时收集企业生产、企业发展、企业创新等过程中的实际问题，协助企业予以解决；同时，协助企业争取上级部门在资金、扶持、政策等方面的帮扶。按照在建、年内开工、年内签约三个进度层次，实时调度，破解瓶颈，加强服务，促使谋划项目早签约，签约项目早开工，开工项目早投产。重点解决废酸处理和雪罗丹纺织品两个廊坊市重点项目的用地指标问题，协调解决土地占补平衡问题，加快推进项目建设，争取</w:t>
      </w:r>
      <w:r w:rsidRPr="00C664D2">
        <w:rPr>
          <w:rFonts w:ascii="仿宋_GB2312" w:eastAsia="仿宋_GB2312" w:hAnsi="仿宋_GB2312" w:cs="仿宋_GB2312"/>
          <w:sz w:val="32"/>
          <w:szCs w:val="32"/>
        </w:rPr>
        <w:t>2017</w:t>
      </w:r>
      <w:r w:rsidRPr="00C664D2">
        <w:rPr>
          <w:rFonts w:ascii="仿宋_GB2312" w:eastAsia="仿宋_GB2312" w:hAnsi="仿宋_GB2312" w:cs="仿宋_GB2312" w:hint="eastAsia"/>
          <w:sz w:val="32"/>
          <w:szCs w:val="32"/>
        </w:rPr>
        <w:t>年内竣工投产。</w:t>
      </w:r>
    </w:p>
    <w:p w:rsidR="00E4601C" w:rsidRPr="00077A2E" w:rsidRDefault="00E4601C" w:rsidP="009271DC">
      <w:pPr>
        <w:ind w:firstLineChars="196" w:firstLine="630"/>
        <w:rPr>
          <w:rFonts w:ascii="仿宋" w:eastAsia="仿宋" w:hAnsi="仿宋" w:cs="Times New Roman"/>
          <w:sz w:val="32"/>
          <w:szCs w:val="32"/>
        </w:rPr>
      </w:pPr>
      <w:r w:rsidRPr="00077A2E">
        <w:rPr>
          <w:rFonts w:ascii="仿宋" w:eastAsia="仿宋" w:hAnsi="仿宋" w:cs="仿宋"/>
          <w:b/>
          <w:bCs/>
          <w:sz w:val="32"/>
          <w:szCs w:val="32"/>
        </w:rPr>
        <w:t>4</w:t>
      </w:r>
      <w:r w:rsidRPr="00077A2E">
        <w:rPr>
          <w:rFonts w:ascii="仿宋" w:eastAsia="仿宋" w:hAnsi="仿宋" w:cs="仿宋" w:hint="eastAsia"/>
          <w:b/>
          <w:bCs/>
          <w:sz w:val="32"/>
          <w:szCs w:val="32"/>
        </w:rPr>
        <w:t>、科技创新方面</w:t>
      </w:r>
      <w:r w:rsidRPr="00077A2E">
        <w:rPr>
          <w:rFonts w:ascii="仿宋" w:eastAsia="仿宋" w:hAnsi="仿宋" w:cs="仿宋"/>
          <w:b/>
          <w:bCs/>
          <w:sz w:val="32"/>
          <w:szCs w:val="32"/>
        </w:rPr>
        <w:t>:</w:t>
      </w:r>
      <w:r w:rsidRPr="00C664D2">
        <w:rPr>
          <w:rFonts w:ascii="仿宋_GB2312" w:eastAsia="仿宋_GB2312" w:hAnsi="仿宋_GB2312" w:cs="仿宋_GB2312" w:hint="eastAsia"/>
          <w:sz w:val="32"/>
          <w:szCs w:val="32"/>
        </w:rPr>
        <w:t>把科技创新作为创新发展的核心，把产业创新作为主攻方向，把企业作为创新主体，加大科技创新服务力度，协助区内符合条件的企业完成高新技术企业、科技小巨人企业、科技型中小企业等认定工作，争创省级高新区。</w:t>
      </w:r>
    </w:p>
    <w:p w:rsidR="00E4601C" w:rsidRPr="00672448" w:rsidRDefault="00E4601C" w:rsidP="009271DC">
      <w:pPr>
        <w:spacing w:line="580" w:lineRule="atLeast"/>
        <w:ind w:firstLineChars="200" w:firstLine="643"/>
        <w:rPr>
          <w:rFonts w:ascii="楷体" w:eastAsia="楷体" w:hAnsi="楷体" w:cs="Times New Roman"/>
          <w:b/>
          <w:bCs/>
          <w:sz w:val="32"/>
          <w:szCs w:val="32"/>
        </w:rPr>
      </w:pPr>
      <w:r w:rsidRPr="00672448">
        <w:rPr>
          <w:rFonts w:ascii="楷体" w:eastAsia="楷体" w:hAnsi="楷体" w:cs="楷体" w:hint="eastAsia"/>
          <w:b/>
          <w:bCs/>
          <w:sz w:val="32"/>
          <w:szCs w:val="32"/>
        </w:rPr>
        <w:t>部门职责及工作活动绩效目标指标：</w:t>
      </w:r>
    </w:p>
    <w:p w:rsidR="00E4601C" w:rsidRDefault="00E4601C" w:rsidP="009271DC">
      <w:pPr>
        <w:ind w:firstLineChars="200" w:firstLine="643"/>
        <w:jc w:val="left"/>
        <w:outlineLvl w:val="0"/>
        <w:rPr>
          <w:rFonts w:ascii="楷体_GB2312" w:eastAsia="楷体_GB2312" w:hAnsi="黑体" w:cs="Times New Roman"/>
          <w:b/>
          <w:bCs/>
          <w:sz w:val="32"/>
          <w:szCs w:val="32"/>
        </w:rPr>
      </w:pPr>
    </w:p>
    <w:p w:rsidR="00E4601C" w:rsidRDefault="00E4601C" w:rsidP="009271DC">
      <w:pPr>
        <w:ind w:firstLineChars="200" w:firstLine="643"/>
        <w:jc w:val="left"/>
        <w:outlineLvl w:val="0"/>
        <w:rPr>
          <w:rFonts w:ascii="楷体_GB2312" w:eastAsia="楷体_GB2312" w:hAnsi="黑体" w:cs="Times New Roman"/>
          <w:b/>
          <w:bCs/>
          <w:sz w:val="32"/>
          <w:szCs w:val="32"/>
        </w:rPr>
      </w:pPr>
    </w:p>
    <w:p w:rsidR="00E4601C" w:rsidRDefault="00E4601C" w:rsidP="009271DC">
      <w:pPr>
        <w:ind w:firstLineChars="200" w:firstLine="643"/>
        <w:jc w:val="left"/>
        <w:outlineLvl w:val="0"/>
        <w:rPr>
          <w:rFonts w:ascii="楷体_GB2312" w:eastAsia="楷体_GB2312" w:hAnsi="黑体" w:cs="Times New Roman"/>
          <w:b/>
          <w:bCs/>
          <w:sz w:val="32"/>
          <w:szCs w:val="32"/>
        </w:rPr>
      </w:pPr>
    </w:p>
    <w:p w:rsidR="00E4601C" w:rsidRDefault="00E4601C" w:rsidP="009271DC">
      <w:pPr>
        <w:ind w:firstLineChars="200" w:firstLine="643"/>
        <w:jc w:val="left"/>
        <w:outlineLvl w:val="0"/>
        <w:rPr>
          <w:rFonts w:ascii="楷体_GB2312" w:eastAsia="楷体_GB2312" w:hAnsi="黑体" w:cs="Times New Roman"/>
          <w:b/>
          <w:bCs/>
          <w:sz w:val="32"/>
          <w:szCs w:val="32"/>
        </w:rPr>
      </w:pPr>
    </w:p>
    <w:p w:rsidR="00E4601C" w:rsidRDefault="00E4601C" w:rsidP="009271DC">
      <w:pPr>
        <w:ind w:firstLineChars="200" w:firstLine="643"/>
        <w:jc w:val="left"/>
        <w:outlineLvl w:val="0"/>
        <w:rPr>
          <w:rFonts w:ascii="楷体_GB2312" w:eastAsia="楷体_GB2312" w:hAnsi="黑体" w:cs="Times New Roman"/>
          <w:b/>
          <w:bCs/>
          <w:sz w:val="32"/>
          <w:szCs w:val="32"/>
        </w:rPr>
      </w:pPr>
    </w:p>
    <w:p w:rsidR="00E4601C" w:rsidRPr="00925753" w:rsidRDefault="00E4601C" w:rsidP="009271DC">
      <w:pPr>
        <w:ind w:firstLineChars="200" w:firstLine="643"/>
        <w:jc w:val="left"/>
        <w:outlineLvl w:val="0"/>
        <w:rPr>
          <w:rFonts w:ascii="楷体_GB2312" w:eastAsia="楷体_GB2312" w:hAnsi="Times New Roman" w:cs="Times New Roman"/>
          <w:b/>
          <w:bCs/>
          <w:sz w:val="32"/>
          <w:szCs w:val="32"/>
        </w:rPr>
      </w:pPr>
    </w:p>
    <w:p w:rsidR="00E4601C" w:rsidRPr="005A46E8" w:rsidRDefault="00E4601C" w:rsidP="009271DC">
      <w:pPr>
        <w:ind w:firstLineChars="196" w:firstLine="627"/>
        <w:jc w:val="center"/>
        <w:rPr>
          <w:rFonts w:ascii="仿宋_GB2312" w:eastAsia="仿宋_GB2312" w:hAnsi="仿宋_GB2312" w:cs="Times New Roman"/>
          <w:sz w:val="32"/>
          <w:szCs w:val="32"/>
        </w:rPr>
      </w:pPr>
      <w:r w:rsidRPr="005A46E8">
        <w:rPr>
          <w:rFonts w:ascii="仿宋_GB2312" w:eastAsia="仿宋_GB2312" w:hAnsi="仿宋_GB2312" w:cs="仿宋_GB2312" w:hint="eastAsia"/>
          <w:sz w:val="32"/>
          <w:szCs w:val="32"/>
        </w:rPr>
        <w:t>部门职责</w:t>
      </w:r>
      <w:r w:rsidRPr="005A46E8">
        <w:rPr>
          <w:rFonts w:ascii="仿宋_GB2312" w:eastAsia="仿宋_GB2312" w:hAnsi="仿宋_GB2312" w:cs="仿宋_GB2312"/>
          <w:sz w:val="32"/>
          <w:szCs w:val="32"/>
        </w:rPr>
        <w:t>-</w:t>
      </w:r>
      <w:r w:rsidRPr="005A46E8">
        <w:rPr>
          <w:rFonts w:ascii="仿宋_GB2312" w:eastAsia="仿宋_GB2312" w:hAnsi="仿宋_GB2312" w:cs="仿宋_GB2312" w:hint="eastAsia"/>
          <w:sz w:val="32"/>
          <w:szCs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4601C" w:rsidRPr="00813687">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4601C" w:rsidRPr="00672448" w:rsidRDefault="00E4601C" w:rsidP="00BC7CB6">
            <w:pPr>
              <w:spacing w:line="300" w:lineRule="exact"/>
              <w:jc w:val="left"/>
              <w:rPr>
                <w:rFonts w:ascii="仿宋_GB2312" w:eastAsia="仿宋_GB2312" w:hAnsi="仿宋_GB2312" w:cs="Times New Roman"/>
                <w:sz w:val="24"/>
                <w:szCs w:val="24"/>
              </w:rPr>
            </w:pPr>
            <w:r w:rsidRPr="00672448">
              <w:rPr>
                <w:rFonts w:ascii="仿宋_GB2312" w:eastAsia="仿宋_GB2312" w:hAnsi="仿宋_GB2312" w:cs="仿宋_GB2312"/>
                <w:sz w:val="24"/>
                <w:szCs w:val="24"/>
              </w:rPr>
              <w:t>966</w:t>
            </w:r>
            <w:r w:rsidRPr="00672448">
              <w:rPr>
                <w:rFonts w:ascii="仿宋_GB2312" w:eastAsia="仿宋_GB2312" w:hAnsi="仿宋_GB2312" w:cs="仿宋_GB2312" w:hint="eastAsia"/>
                <w:sz w:val="24"/>
                <w:szCs w:val="24"/>
              </w:rPr>
              <w:t>霸州津霸经济开发区管理委员会</w:t>
            </w:r>
          </w:p>
        </w:tc>
        <w:tc>
          <w:tcPr>
            <w:tcW w:w="2948" w:type="dxa"/>
            <w:gridSpan w:val="4"/>
            <w:tcBorders>
              <w:top w:val="single" w:sz="6" w:space="0" w:color="FFFFFF"/>
              <w:left w:val="single" w:sz="6" w:space="0" w:color="FFFFFF"/>
              <w:right w:val="single" w:sz="6" w:space="0" w:color="FFFFFF"/>
            </w:tcBorders>
            <w:vAlign w:val="center"/>
          </w:tcPr>
          <w:p w:rsidR="00E4601C" w:rsidRPr="00813687" w:rsidRDefault="00E4601C" w:rsidP="00BC7CB6">
            <w:pPr>
              <w:spacing w:line="300" w:lineRule="exact"/>
              <w:jc w:val="right"/>
              <w:rPr>
                <w:rFonts w:ascii="方正书宋_GBK" w:eastAsia="方正书宋_GBK" w:hAnsi="Times New Roman" w:cs="Times New Roman"/>
                <w:sz w:val="22"/>
              </w:rPr>
            </w:pPr>
            <w:r w:rsidRPr="00672448">
              <w:rPr>
                <w:rFonts w:ascii="仿宋_GB2312" w:eastAsia="仿宋_GB2312" w:hAnsi="仿宋_GB2312" w:cs="仿宋_GB2312" w:hint="eastAsia"/>
                <w:sz w:val="24"/>
                <w:szCs w:val="24"/>
              </w:rPr>
              <w:t>单位：万元</w:t>
            </w:r>
          </w:p>
        </w:tc>
      </w:tr>
      <w:tr w:rsidR="00E4601C" w:rsidRPr="00CA7176">
        <w:trPr>
          <w:trHeight w:val="227"/>
          <w:tblHeader/>
          <w:jc w:val="center"/>
        </w:trPr>
        <w:tc>
          <w:tcPr>
            <w:tcW w:w="2341" w:type="dxa"/>
            <w:vMerge w:val="restart"/>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职责活动</w:t>
            </w:r>
          </w:p>
        </w:tc>
        <w:tc>
          <w:tcPr>
            <w:tcW w:w="1276" w:type="dxa"/>
            <w:vMerge w:val="restart"/>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年度预算数</w:t>
            </w:r>
          </w:p>
        </w:tc>
        <w:tc>
          <w:tcPr>
            <w:tcW w:w="2976" w:type="dxa"/>
            <w:vMerge w:val="restart"/>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内容描述</w:t>
            </w:r>
          </w:p>
        </w:tc>
        <w:tc>
          <w:tcPr>
            <w:tcW w:w="2976" w:type="dxa"/>
            <w:vMerge w:val="restart"/>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绩效目标</w:t>
            </w:r>
          </w:p>
        </w:tc>
        <w:tc>
          <w:tcPr>
            <w:tcW w:w="1417" w:type="dxa"/>
            <w:vMerge w:val="restart"/>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绩效指标</w:t>
            </w:r>
          </w:p>
        </w:tc>
        <w:tc>
          <w:tcPr>
            <w:tcW w:w="2948" w:type="dxa"/>
            <w:gridSpan w:val="4"/>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评价标准</w:t>
            </w:r>
          </w:p>
        </w:tc>
      </w:tr>
      <w:tr w:rsidR="00E4601C" w:rsidRPr="00CA7176">
        <w:trPr>
          <w:trHeight w:val="227"/>
          <w:tblHeader/>
          <w:jc w:val="center"/>
        </w:trPr>
        <w:tc>
          <w:tcPr>
            <w:tcW w:w="2341" w:type="dxa"/>
            <w:vMerge/>
            <w:vAlign w:val="center"/>
          </w:tcPr>
          <w:p w:rsidR="00E4601C" w:rsidRPr="009508EA" w:rsidRDefault="00E4601C" w:rsidP="00BC7CB6">
            <w:pPr>
              <w:spacing w:line="300" w:lineRule="exact"/>
              <w:jc w:val="left"/>
              <w:outlineLvl w:val="0"/>
              <w:rPr>
                <w:rFonts w:ascii="仿宋_GB2312" w:eastAsia="仿宋_GB2312" w:hAnsi="Times New Roman" w:cs="Times New Roman"/>
                <w:sz w:val="18"/>
                <w:szCs w:val="18"/>
              </w:rPr>
            </w:pPr>
          </w:p>
        </w:tc>
        <w:tc>
          <w:tcPr>
            <w:tcW w:w="1276" w:type="dxa"/>
            <w:vMerge/>
            <w:vAlign w:val="center"/>
          </w:tcPr>
          <w:p w:rsidR="00E4601C" w:rsidRPr="009508EA" w:rsidRDefault="00E4601C" w:rsidP="00BC7CB6">
            <w:pPr>
              <w:spacing w:line="300" w:lineRule="exact"/>
              <w:jc w:val="left"/>
              <w:outlineLvl w:val="0"/>
              <w:rPr>
                <w:rFonts w:ascii="仿宋_GB2312" w:eastAsia="仿宋_GB2312" w:hAnsi="Times New Roman" w:cs="Times New Roman"/>
                <w:sz w:val="18"/>
                <w:szCs w:val="18"/>
              </w:rPr>
            </w:pPr>
          </w:p>
        </w:tc>
        <w:tc>
          <w:tcPr>
            <w:tcW w:w="2976" w:type="dxa"/>
            <w:vMerge/>
            <w:vAlign w:val="center"/>
          </w:tcPr>
          <w:p w:rsidR="00E4601C" w:rsidRPr="009508EA" w:rsidRDefault="00E4601C" w:rsidP="00BC7CB6">
            <w:pPr>
              <w:spacing w:line="300" w:lineRule="exact"/>
              <w:jc w:val="left"/>
              <w:outlineLvl w:val="0"/>
              <w:rPr>
                <w:rFonts w:ascii="仿宋_GB2312" w:eastAsia="仿宋_GB2312" w:hAnsi="Times New Roman" w:cs="Times New Roman"/>
                <w:sz w:val="18"/>
                <w:szCs w:val="18"/>
              </w:rPr>
            </w:pPr>
          </w:p>
        </w:tc>
        <w:tc>
          <w:tcPr>
            <w:tcW w:w="2976" w:type="dxa"/>
            <w:vMerge/>
            <w:vAlign w:val="center"/>
          </w:tcPr>
          <w:p w:rsidR="00E4601C" w:rsidRPr="009508EA" w:rsidRDefault="00E4601C" w:rsidP="00BC7CB6">
            <w:pPr>
              <w:spacing w:line="300" w:lineRule="exact"/>
              <w:jc w:val="left"/>
              <w:outlineLvl w:val="0"/>
              <w:rPr>
                <w:rFonts w:ascii="仿宋_GB2312" w:eastAsia="仿宋_GB2312" w:hAnsi="Times New Roman" w:cs="Times New Roman"/>
                <w:sz w:val="18"/>
                <w:szCs w:val="18"/>
              </w:rPr>
            </w:pPr>
          </w:p>
        </w:tc>
        <w:tc>
          <w:tcPr>
            <w:tcW w:w="1417" w:type="dxa"/>
            <w:vMerge/>
            <w:vAlign w:val="center"/>
          </w:tcPr>
          <w:p w:rsidR="00E4601C" w:rsidRPr="009508EA" w:rsidRDefault="00E4601C" w:rsidP="00BC7CB6">
            <w:pPr>
              <w:spacing w:line="300" w:lineRule="exact"/>
              <w:jc w:val="left"/>
              <w:outlineLvl w:val="0"/>
              <w:rPr>
                <w:rFonts w:ascii="仿宋_GB2312" w:eastAsia="仿宋_GB2312" w:hAnsi="Times New Roman" w:cs="Times New Roman"/>
                <w:sz w:val="18"/>
                <w:szCs w:val="18"/>
              </w:rPr>
            </w:pPr>
          </w:p>
        </w:tc>
        <w:tc>
          <w:tcPr>
            <w:tcW w:w="737" w:type="dxa"/>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优</w:t>
            </w:r>
          </w:p>
        </w:tc>
        <w:tc>
          <w:tcPr>
            <w:tcW w:w="737" w:type="dxa"/>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良</w:t>
            </w:r>
          </w:p>
        </w:tc>
        <w:tc>
          <w:tcPr>
            <w:tcW w:w="737" w:type="dxa"/>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中</w:t>
            </w:r>
          </w:p>
        </w:tc>
        <w:tc>
          <w:tcPr>
            <w:tcW w:w="737" w:type="dxa"/>
            <w:vAlign w:val="center"/>
          </w:tcPr>
          <w:p w:rsidR="00E4601C" w:rsidRPr="009508EA" w:rsidRDefault="00E4601C" w:rsidP="00BC7CB6">
            <w:pPr>
              <w:spacing w:line="300" w:lineRule="exact"/>
              <w:jc w:val="center"/>
              <w:rPr>
                <w:rFonts w:ascii="仿宋_GB2312" w:eastAsia="仿宋_GB2312" w:hAnsi="Times New Roman" w:cs="Times New Roman"/>
                <w:b/>
                <w:bCs/>
                <w:sz w:val="18"/>
                <w:szCs w:val="18"/>
              </w:rPr>
            </w:pPr>
            <w:r w:rsidRPr="009508EA">
              <w:rPr>
                <w:rFonts w:ascii="仿宋_GB2312" w:eastAsia="仿宋_GB2312" w:hAnsi="Times New Roman" w:cs="仿宋_GB2312" w:hint="eastAsia"/>
                <w:b/>
                <w:bCs/>
                <w:sz w:val="18"/>
                <w:szCs w:val="18"/>
              </w:rPr>
              <w:t>差</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综合业务、事务管理</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23.00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紧紧围绕县政府中心工作，积极协调县领导谋大事，解难事，不断提高参政水平，努力为领导提供服务层次和优质服务。</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综合业务、事务管理</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23.00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采取保障县政府领导和机关工作办公环境的措施，提升了服务管理水平，保障了县领导和机关工作的正常运转。</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各项综合事务管理工作完成率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各项综合业务管理工作完成率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对外贸易管理</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52.00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实施对外经济合作及外商投资计划，协调大宗进出口商品，依法监督技术引进、设备进口等工作，拟订全县服务贸易发展规划并组织实施。</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促进对外贸易稳定增长，优化产品结构。</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 xml:space="preserve">　　招商引资</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52.00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规范全县对外招商引资活动，组织实施投资贸易洽谈会等活动。组织我县企业走出去，开展贸易洽谈、招商合作等活动，促进贸易往来。</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瞄准重点区域、重点客商和商务机构，加强企业对接、园区对接，项目对接，宣传本县投资环境，力争在重点产业引进一批战略支撑项目、龙头企业和协力配套企业。</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赴外地开展招商引资地区数量</w:t>
            </w:r>
            <w:r w:rsidRPr="00E8243C">
              <w:rPr>
                <w:rFonts w:ascii="仿宋_GB2312" w:eastAsia="仿宋_GB2312" w:hAnsi="仿宋_GB2312" w:cs="仿宋_GB2312"/>
                <w:sz w:val="24"/>
                <w:szCs w:val="24"/>
              </w:rPr>
              <w:t>(</w:t>
            </w:r>
            <w:r w:rsidRPr="00E8243C">
              <w:rPr>
                <w:rFonts w:ascii="仿宋_GB2312" w:eastAsia="仿宋_GB2312" w:hAnsi="仿宋_GB2312" w:cs="仿宋_GB2312" w:hint="eastAsia"/>
                <w:sz w:val="24"/>
                <w:szCs w:val="24"/>
              </w:rPr>
              <w:t>个）</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3</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2</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招商引资规模增长率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4%</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2%</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&lt;2%</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举办活动数量（场）</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3</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2</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到会客商人数（人）</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300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200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&lt;100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城乡规划</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5204.00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组织县域城镇体系规划编制，参与各级、各部门依法编制总体规划、专项规划、控制性详细规划、历史文化名城和街区保护规划等。对由县政府审批的规划进行监督实施。</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加强城乡规划管理，协调城乡空间布局，改善人居环境，促进城乡经济社会全面协调可持续发展。</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 xml:space="preserve">　　城乡规划制订、实施与监督</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5204.00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拟定全省城乡规划管理政策，制定城乡规划技术管理标准和导则；组织省域城镇体系规划等省级层面规划编制，编制国家级风景名胜区规划，参与京津冀一体化规划制订；审查、督导各地依法编制城乡规划；加强和改进规划管理技术手段，对依法批准的城乡规划进行监督实施。</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完成规划编制，健全规划体系</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参与各级、各部门规划编制的完成比例</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85%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75%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&lt;75%</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编制规划应用率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85%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75%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&lt;75%</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动态监测报告完成率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城乡规划编制进展情况</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完成报审稿</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基本完成本级规划编制工作</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完成初稿</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未开展</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城乡建设管理</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25.00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负责市政公用设施建设、安全和应急管理；负责镇、乡村庄规划的编制和实施；负责农村住房建设、住房安全和危房改造；改善小城镇和村庄人居环境。</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加强管理，提高城市承载能力和宜居度。加强村镇建设，改善农村人居环境，实现城乡统筹发展。</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 xml:space="preserve">　　市政公用设施建设与管理</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20.00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负责市政公用事业建设、市政公用设施安全和应急管理；逐步推进供热计量改革，开展燃气行业安全监督检查；开展城市园林水域安全监管、公园和绿地技术评估和动态监测。</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市政公用事业建设、市政公用设施安全和应急管理</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星级公园、园林式单位、小区创建数量（个）</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3</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2</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城市公园绿地、城市植树、城镇古树名木和风景名胜资源保护完成率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市政公用事业基础设施建设及维护工作目标完成率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 xml:space="preserve">　　城市容貌环境综合整治</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5.00</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负责城区市容环境治理、城建监察等各项工作，改善人居环境，大气污染治理。</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推进洁净城市创建进程，加强大气污染治理力度。</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机械化清扫率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57%</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55%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53%</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&lt;53%</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市容环境治理完成率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&lt;90%</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环境监测与监察</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1.26</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Times New Roman"/>
                <w:sz w:val="24"/>
                <w:szCs w:val="24"/>
              </w:rPr>
            </w:pPr>
            <w:r w:rsidRPr="00E8243C">
              <w:rPr>
                <w:rFonts w:ascii="Tahoma" w:eastAsia="仿宋_GB2312" w:hAnsi="Tahoma" w:cs="Times New Roman"/>
                <w:sz w:val="24"/>
                <w:szCs w:val="24"/>
              </w:rPr>
              <w:t> </w:t>
            </w:r>
          </w:p>
        </w:tc>
      </w:tr>
      <w:tr w:rsidR="00E4601C" w:rsidRPr="00CA7176">
        <w:trPr>
          <w:trHeight w:val="227"/>
          <w:jc w:val="center"/>
        </w:trPr>
        <w:tc>
          <w:tcPr>
            <w:tcW w:w="2341" w:type="dxa"/>
            <w:vAlign w:val="center"/>
          </w:tcPr>
          <w:p w:rsidR="00E4601C" w:rsidRPr="00E8243C" w:rsidRDefault="00E4601C" w:rsidP="005C3C51">
            <w:pPr>
              <w:widowControl/>
              <w:spacing w:line="227" w:lineRule="atLeast"/>
              <w:jc w:val="center"/>
              <w:rPr>
                <w:rFonts w:ascii="仿宋_GB2312" w:eastAsia="仿宋_GB2312" w:hAnsi="仿宋_GB2312" w:cs="Times New Roman"/>
                <w:b/>
                <w:bCs/>
                <w:sz w:val="24"/>
                <w:szCs w:val="24"/>
              </w:rPr>
            </w:pPr>
            <w:r w:rsidRPr="00E8243C">
              <w:rPr>
                <w:rFonts w:ascii="仿宋_GB2312" w:eastAsia="仿宋_GB2312" w:hAnsi="仿宋_GB2312" w:cs="仿宋_GB2312" w:hint="eastAsia"/>
                <w:b/>
                <w:bCs/>
                <w:sz w:val="24"/>
                <w:szCs w:val="24"/>
              </w:rPr>
              <w:t xml:space="preserve">　　环境监察与督查</w:t>
            </w:r>
          </w:p>
        </w:tc>
        <w:tc>
          <w:tcPr>
            <w:tcW w:w="1276" w:type="dxa"/>
            <w:vAlign w:val="center"/>
          </w:tcPr>
          <w:p w:rsidR="00E4601C" w:rsidRPr="00E8243C" w:rsidRDefault="00E4601C" w:rsidP="005C3C51">
            <w:pPr>
              <w:widowControl/>
              <w:spacing w:line="227" w:lineRule="atLeast"/>
              <w:jc w:val="left"/>
              <w:rPr>
                <w:rFonts w:ascii="仿宋_GB2312" w:eastAsia="仿宋_GB2312" w:hAnsi="仿宋_GB2312" w:cs="仿宋_GB2312"/>
                <w:sz w:val="24"/>
                <w:szCs w:val="24"/>
              </w:rPr>
            </w:pPr>
            <w:r w:rsidRPr="00E8243C">
              <w:rPr>
                <w:rFonts w:ascii="仿宋_GB2312" w:eastAsia="仿宋_GB2312" w:hAnsi="仿宋_GB2312" w:cs="仿宋_GB2312"/>
                <w:sz w:val="24"/>
                <w:szCs w:val="24"/>
              </w:rPr>
              <w:t>1.26</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组织全县环境监察人员岗位培训。落实全县排污费征收、稽查工作。对环境违法案件进行查处。开展全县环境保护督察工作。</w:t>
            </w:r>
          </w:p>
        </w:tc>
        <w:tc>
          <w:tcPr>
            <w:tcW w:w="2976"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组织全县环境监察人员岗位培训人数</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50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45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40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40</w:t>
            </w:r>
          </w:p>
        </w:tc>
      </w:tr>
      <w:tr w:rsidR="00E4601C" w:rsidRPr="00CA7176">
        <w:trPr>
          <w:trHeight w:val="227"/>
          <w:jc w:val="center"/>
        </w:trPr>
        <w:tc>
          <w:tcPr>
            <w:tcW w:w="2341" w:type="dxa"/>
            <w:vAlign w:val="center"/>
          </w:tcPr>
          <w:p w:rsidR="00E4601C" w:rsidRPr="00077A2E" w:rsidRDefault="00E4601C" w:rsidP="005C3C51">
            <w:pPr>
              <w:widowControl/>
              <w:jc w:val="left"/>
              <w:rPr>
                <w:rFonts w:ascii="仿宋" w:eastAsia="仿宋" w:hAnsi="仿宋" w:cs="Times New Roman"/>
                <w:kern w:val="0"/>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环境保护督察率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80%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70%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70%</w:t>
            </w:r>
          </w:p>
        </w:tc>
      </w:tr>
      <w:tr w:rsidR="00E4601C" w:rsidRPr="00CA7176">
        <w:trPr>
          <w:trHeight w:val="227"/>
          <w:jc w:val="center"/>
        </w:trPr>
        <w:tc>
          <w:tcPr>
            <w:tcW w:w="2341" w:type="dxa"/>
            <w:vAlign w:val="center"/>
          </w:tcPr>
          <w:p w:rsidR="00E4601C" w:rsidRPr="00077A2E" w:rsidRDefault="00E4601C" w:rsidP="005C3C51">
            <w:pPr>
              <w:widowControl/>
              <w:jc w:val="left"/>
              <w:rPr>
                <w:rFonts w:ascii="仿宋" w:eastAsia="仿宋" w:hAnsi="仿宋" w:cs="Times New Roman"/>
                <w:kern w:val="0"/>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县级排污费征收入库率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85%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85%</w:t>
            </w:r>
          </w:p>
        </w:tc>
      </w:tr>
      <w:tr w:rsidR="00E4601C" w:rsidRPr="00CA7176">
        <w:trPr>
          <w:trHeight w:val="227"/>
          <w:jc w:val="center"/>
        </w:trPr>
        <w:tc>
          <w:tcPr>
            <w:tcW w:w="2341" w:type="dxa"/>
            <w:vAlign w:val="center"/>
          </w:tcPr>
          <w:p w:rsidR="00E4601C" w:rsidRPr="00077A2E" w:rsidRDefault="00E4601C" w:rsidP="005C3C51">
            <w:pPr>
              <w:widowControl/>
              <w:jc w:val="left"/>
              <w:rPr>
                <w:rFonts w:ascii="仿宋" w:eastAsia="仿宋" w:hAnsi="仿宋" w:cs="Times New Roman"/>
                <w:kern w:val="0"/>
                <w:sz w:val="24"/>
                <w:szCs w:val="24"/>
              </w:rPr>
            </w:pPr>
          </w:p>
        </w:tc>
        <w:tc>
          <w:tcPr>
            <w:tcW w:w="12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2976" w:type="dxa"/>
            <w:vAlign w:val="center"/>
          </w:tcPr>
          <w:p w:rsidR="00E4601C" w:rsidRPr="00E8243C" w:rsidRDefault="00E4601C" w:rsidP="005C3C51">
            <w:pPr>
              <w:widowControl/>
              <w:jc w:val="left"/>
              <w:rPr>
                <w:rFonts w:ascii="仿宋_GB2312" w:eastAsia="仿宋_GB2312" w:hAnsi="仿宋_GB2312" w:cs="Times New Roman"/>
                <w:sz w:val="24"/>
                <w:szCs w:val="24"/>
              </w:rPr>
            </w:pPr>
          </w:p>
        </w:tc>
        <w:tc>
          <w:tcPr>
            <w:tcW w:w="1417" w:type="dxa"/>
            <w:vAlign w:val="center"/>
          </w:tcPr>
          <w:p w:rsidR="00E4601C" w:rsidRPr="00E8243C" w:rsidRDefault="00E4601C" w:rsidP="005C3C51">
            <w:pPr>
              <w:widowControl/>
              <w:spacing w:line="227" w:lineRule="atLeast"/>
              <w:jc w:val="left"/>
              <w:rPr>
                <w:rFonts w:ascii="仿宋_GB2312" w:eastAsia="仿宋_GB2312" w:hAnsi="仿宋_GB2312" w:cs="Times New Roman"/>
                <w:sz w:val="24"/>
                <w:szCs w:val="24"/>
              </w:rPr>
            </w:pPr>
            <w:r w:rsidRPr="00E8243C">
              <w:rPr>
                <w:rFonts w:ascii="仿宋_GB2312" w:eastAsia="仿宋_GB2312" w:hAnsi="仿宋_GB2312" w:cs="仿宋_GB2312" w:hint="eastAsia"/>
                <w:sz w:val="24"/>
                <w:szCs w:val="24"/>
              </w:rPr>
              <w:t>重点案件现场调查处理率</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sz w:val="24"/>
                <w:szCs w:val="24"/>
              </w:rPr>
              <w:t>100%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95%</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c>
          <w:tcPr>
            <w:tcW w:w="737" w:type="dxa"/>
            <w:vAlign w:val="center"/>
          </w:tcPr>
          <w:p w:rsidR="00E4601C" w:rsidRPr="00E8243C" w:rsidRDefault="00E4601C" w:rsidP="005C3C51">
            <w:pPr>
              <w:widowControl/>
              <w:spacing w:line="227" w:lineRule="atLeast"/>
              <w:jc w:val="center"/>
              <w:rPr>
                <w:rFonts w:ascii="仿宋_GB2312" w:eastAsia="仿宋_GB2312" w:hAnsi="仿宋_GB2312" w:cs="仿宋_GB2312"/>
                <w:sz w:val="24"/>
                <w:szCs w:val="24"/>
              </w:rPr>
            </w:pPr>
            <w:r w:rsidRPr="00E8243C">
              <w:rPr>
                <w:rFonts w:ascii="仿宋_GB2312" w:eastAsia="仿宋_GB2312" w:hAnsi="仿宋_GB2312" w:cs="仿宋_GB2312" w:hint="eastAsia"/>
                <w:sz w:val="24"/>
                <w:szCs w:val="24"/>
              </w:rPr>
              <w:t>＜</w:t>
            </w:r>
            <w:r w:rsidRPr="00E8243C">
              <w:rPr>
                <w:rFonts w:ascii="仿宋_GB2312" w:eastAsia="仿宋_GB2312" w:hAnsi="仿宋_GB2312" w:cs="仿宋_GB2312"/>
                <w:sz w:val="24"/>
                <w:szCs w:val="24"/>
              </w:rPr>
              <w:t>90%</w:t>
            </w:r>
          </w:p>
        </w:tc>
      </w:tr>
    </w:tbl>
    <w:bookmarkEnd w:id="0"/>
    <w:p w:rsidR="00E4601C" w:rsidRPr="00925753" w:rsidRDefault="00E4601C" w:rsidP="009271DC">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黑体" w:hint="eastAsia"/>
          <w:sz w:val="32"/>
          <w:szCs w:val="32"/>
        </w:rPr>
        <w:t>六、政府采购预算情况</w:t>
      </w:r>
    </w:p>
    <w:p w:rsidR="00E4601C" w:rsidRDefault="00E4601C" w:rsidP="009271DC">
      <w:pPr>
        <w:autoSpaceDE w:val="0"/>
        <w:autoSpaceDN w:val="0"/>
        <w:adjustRightInd w:val="0"/>
        <w:ind w:firstLineChars="200" w:firstLine="640"/>
        <w:jc w:val="left"/>
        <w:rPr>
          <w:rFonts w:ascii="仿宋_GB2312" w:eastAsia="仿宋_GB2312" w:hAnsi="Times New Roman" w:cs="Times New Roman"/>
          <w:sz w:val="32"/>
          <w:szCs w:val="32"/>
        </w:rPr>
      </w:pPr>
      <w:r w:rsidRPr="00952E5C">
        <w:rPr>
          <w:rFonts w:ascii="仿宋_GB2312" w:eastAsia="仿宋_GB2312" w:hAnsi="Times New Roman" w:cs="仿宋_GB2312"/>
          <w:sz w:val="32"/>
          <w:szCs w:val="32"/>
        </w:rPr>
        <w:t>2017</w:t>
      </w:r>
      <w:r w:rsidRPr="00952E5C">
        <w:rPr>
          <w:rFonts w:ascii="仿宋_GB2312" w:eastAsia="仿宋_GB2312" w:hAnsi="Times New Roman" w:cs="仿宋_GB2312" w:hint="eastAsia"/>
          <w:sz w:val="32"/>
          <w:szCs w:val="32"/>
        </w:rPr>
        <w:t>年，我</w:t>
      </w:r>
      <w:r>
        <w:rPr>
          <w:rFonts w:ascii="仿宋_GB2312" w:eastAsia="仿宋_GB2312" w:hAnsi="Times New Roman" w:cs="仿宋_GB2312" w:hint="eastAsia"/>
          <w:sz w:val="32"/>
          <w:szCs w:val="32"/>
        </w:rPr>
        <w:t>部门</w:t>
      </w:r>
      <w:r w:rsidRPr="00952E5C">
        <w:rPr>
          <w:rFonts w:ascii="仿宋_GB2312" w:eastAsia="仿宋_GB2312" w:hAnsi="Times New Roman" w:cs="仿宋_GB2312" w:hint="eastAsia"/>
          <w:sz w:val="32"/>
          <w:szCs w:val="32"/>
        </w:rPr>
        <w:t>安排政府采购预算</w:t>
      </w:r>
      <w:r>
        <w:rPr>
          <w:rFonts w:ascii="仿宋_GB2312" w:eastAsia="仿宋_GB2312" w:hAnsi="Times New Roman" w:cs="仿宋_GB2312"/>
          <w:sz w:val="32"/>
          <w:szCs w:val="32"/>
        </w:rPr>
        <w:t>0</w:t>
      </w:r>
      <w:r w:rsidRPr="00952E5C">
        <w:rPr>
          <w:rFonts w:ascii="仿宋_GB2312" w:eastAsia="仿宋_GB2312" w:hAnsi="Times New Roman" w:cs="仿宋_GB2312" w:hint="eastAsia"/>
          <w:sz w:val="32"/>
          <w:szCs w:val="32"/>
        </w:rPr>
        <w:t>万元。</w:t>
      </w:r>
    </w:p>
    <w:p w:rsidR="00E4601C" w:rsidRPr="001245BB" w:rsidRDefault="00E4601C" w:rsidP="009271DC">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黑体" w:hint="eastAsia"/>
          <w:sz w:val="32"/>
          <w:szCs w:val="32"/>
        </w:rPr>
        <w:t>七、国有资产信息</w:t>
      </w:r>
    </w:p>
    <w:p w:rsidR="00E4601C" w:rsidRDefault="00E4601C" w:rsidP="009271DC">
      <w:pPr>
        <w:ind w:firstLineChars="200" w:firstLine="640"/>
        <w:rPr>
          <w:rFonts w:ascii="仿宋_GB2312" w:eastAsia="仿宋_GB2312" w:hAnsi="仿宋_GB2312" w:cs="Times New Roman"/>
          <w:sz w:val="32"/>
          <w:szCs w:val="32"/>
        </w:rPr>
      </w:pPr>
      <w:r w:rsidRPr="001166E1">
        <w:rPr>
          <w:rFonts w:ascii="仿宋_GB2312" w:eastAsia="仿宋_GB2312" w:hAnsi="仿宋_GB2312" w:cs="仿宋_GB2312" w:hint="eastAsia"/>
          <w:sz w:val="32"/>
          <w:szCs w:val="32"/>
        </w:rPr>
        <w:t>霸州津霸经济开发区管理委员会</w:t>
      </w:r>
      <w:r w:rsidRPr="00C664D2">
        <w:rPr>
          <w:rFonts w:ascii="仿宋_GB2312" w:eastAsia="仿宋_GB2312" w:hAnsi="仿宋_GB2312" w:cs="仿宋_GB2312" w:hint="eastAsia"/>
          <w:sz w:val="32"/>
          <w:szCs w:val="32"/>
        </w:rPr>
        <w:t>（含所属单位）上年末固定资产金额为</w:t>
      </w:r>
      <w:r>
        <w:rPr>
          <w:rFonts w:ascii="仿宋_GB2312" w:eastAsia="仿宋_GB2312" w:hAnsi="仿宋_GB2312" w:cs="仿宋_GB2312"/>
          <w:sz w:val="32"/>
          <w:szCs w:val="32"/>
        </w:rPr>
        <w:t>97.07</w:t>
      </w:r>
      <w:r w:rsidRPr="00C664D2">
        <w:rPr>
          <w:rFonts w:ascii="仿宋_GB2312" w:eastAsia="仿宋_GB2312" w:hAnsi="仿宋_GB2312" w:cs="仿宋_GB2312" w:hint="eastAsia"/>
          <w:sz w:val="32"/>
          <w:szCs w:val="32"/>
        </w:rPr>
        <w:t>万元，本年度</w:t>
      </w:r>
      <w:r>
        <w:rPr>
          <w:rFonts w:ascii="仿宋_GB2312" w:eastAsia="仿宋_GB2312" w:hAnsi="仿宋_GB2312" w:cs="仿宋_GB2312" w:hint="eastAsia"/>
          <w:sz w:val="32"/>
          <w:szCs w:val="32"/>
        </w:rPr>
        <w:t>本单位无新增固定资产计划</w:t>
      </w:r>
      <w:r w:rsidRPr="00C664D2">
        <w:rPr>
          <w:rFonts w:ascii="仿宋_GB2312" w:eastAsia="仿宋_GB2312" w:hAnsi="仿宋_GB2312" w:cs="仿宋_GB2312" w:hint="eastAsia"/>
          <w:sz w:val="32"/>
          <w:szCs w:val="32"/>
        </w:rPr>
        <w:t>，详见下表。</w:t>
      </w:r>
    </w:p>
    <w:p w:rsidR="00E4601C" w:rsidRDefault="00E4601C" w:rsidP="009271DC">
      <w:pPr>
        <w:ind w:firstLineChars="200" w:firstLine="640"/>
        <w:rPr>
          <w:rFonts w:ascii="仿宋_GB2312" w:eastAsia="仿宋_GB2312" w:hAnsi="仿宋_GB2312" w:cs="Times New Roman"/>
          <w:sz w:val="32"/>
          <w:szCs w:val="32"/>
        </w:rPr>
      </w:pPr>
    </w:p>
    <w:tbl>
      <w:tblPr>
        <w:tblW w:w="13482" w:type="dxa"/>
        <w:jc w:val="center"/>
        <w:tblLook w:val="00A0"/>
      </w:tblPr>
      <w:tblGrid>
        <w:gridCol w:w="5224"/>
        <w:gridCol w:w="3155"/>
        <w:gridCol w:w="5103"/>
      </w:tblGrid>
      <w:tr w:rsidR="00E4601C" w:rsidRPr="002D14B5">
        <w:trPr>
          <w:trHeight w:val="705"/>
          <w:jc w:val="center"/>
        </w:trPr>
        <w:tc>
          <w:tcPr>
            <w:tcW w:w="13482" w:type="dxa"/>
            <w:gridSpan w:val="3"/>
            <w:tcBorders>
              <w:top w:val="nil"/>
              <w:left w:val="nil"/>
              <w:bottom w:val="nil"/>
              <w:right w:val="nil"/>
            </w:tcBorders>
            <w:noWrap/>
            <w:vAlign w:val="center"/>
          </w:tcPr>
          <w:p w:rsidR="00E4601C" w:rsidRPr="002D14B5" w:rsidRDefault="00E4601C" w:rsidP="00296113">
            <w:pPr>
              <w:widowControl/>
              <w:jc w:val="center"/>
              <w:rPr>
                <w:rFonts w:ascii="宋体" w:cs="Times New Roman"/>
                <w:b/>
                <w:bCs/>
                <w:kern w:val="0"/>
                <w:sz w:val="36"/>
                <w:szCs w:val="36"/>
              </w:rPr>
            </w:pPr>
            <w:r w:rsidRPr="00672448">
              <w:rPr>
                <w:rFonts w:ascii="仿宋_GB2312" w:eastAsia="仿宋_GB2312" w:hAnsi="仿宋_GB2312" w:cs="仿宋_GB2312" w:hint="eastAsia"/>
                <w:sz w:val="32"/>
                <w:szCs w:val="32"/>
              </w:rPr>
              <w:t>霸州津霸经济开发区管理委员会固定资产占用情况表</w:t>
            </w:r>
          </w:p>
        </w:tc>
      </w:tr>
      <w:tr w:rsidR="00E4601C" w:rsidRPr="00980D6D">
        <w:trPr>
          <w:trHeight w:val="510"/>
          <w:jc w:val="center"/>
        </w:trPr>
        <w:tc>
          <w:tcPr>
            <w:tcW w:w="8379" w:type="dxa"/>
            <w:gridSpan w:val="2"/>
            <w:tcBorders>
              <w:top w:val="nil"/>
              <w:left w:val="nil"/>
              <w:bottom w:val="nil"/>
              <w:right w:val="nil"/>
            </w:tcBorders>
            <w:noWrap/>
            <w:vAlign w:val="center"/>
          </w:tcPr>
          <w:p w:rsidR="00E4601C" w:rsidRPr="00672448" w:rsidRDefault="00E4601C" w:rsidP="00672448">
            <w:pPr>
              <w:spacing w:line="300" w:lineRule="exact"/>
              <w:rPr>
                <w:rFonts w:ascii="仿宋_GB2312" w:eastAsia="仿宋_GB2312" w:hAnsi="仿宋_GB2312" w:cs="仿宋_GB2312"/>
                <w:sz w:val="24"/>
                <w:szCs w:val="24"/>
              </w:rPr>
            </w:pPr>
            <w:r w:rsidRPr="00672448">
              <w:rPr>
                <w:rFonts w:ascii="仿宋_GB2312" w:eastAsia="仿宋_GB2312" w:hAnsi="仿宋_GB2312" w:cs="仿宋_GB2312" w:hint="eastAsia"/>
                <w:sz w:val="24"/>
                <w:szCs w:val="24"/>
              </w:rPr>
              <w:t>编制部门：</w:t>
            </w:r>
            <w:r w:rsidRPr="00672448">
              <w:rPr>
                <w:rFonts w:ascii="仿宋_GB2312" w:eastAsia="仿宋_GB2312" w:hAnsi="仿宋_GB2312" w:cs="仿宋_GB2312"/>
                <w:sz w:val="24"/>
                <w:szCs w:val="24"/>
              </w:rPr>
              <w:t>966</w:t>
            </w:r>
            <w:r w:rsidRPr="00672448">
              <w:rPr>
                <w:rFonts w:ascii="仿宋_GB2312" w:eastAsia="仿宋_GB2312" w:hAnsi="仿宋_GB2312" w:cs="仿宋_GB2312" w:hint="eastAsia"/>
                <w:sz w:val="24"/>
                <w:szCs w:val="24"/>
              </w:rPr>
              <w:t>霸州津霸经济开发区管理委员会</w:t>
            </w:r>
            <w:r w:rsidRPr="00672448">
              <w:rPr>
                <w:rFonts w:ascii="仿宋_GB2312" w:eastAsia="仿宋_GB2312" w:hAnsi="仿宋_GB2312" w:cs="仿宋_GB2312"/>
                <w:sz w:val="24"/>
                <w:szCs w:val="24"/>
              </w:rPr>
              <w:t xml:space="preserve">   </w:t>
            </w:r>
          </w:p>
        </w:tc>
        <w:tc>
          <w:tcPr>
            <w:tcW w:w="5103" w:type="dxa"/>
            <w:tcBorders>
              <w:top w:val="nil"/>
              <w:left w:val="nil"/>
              <w:bottom w:val="nil"/>
              <w:right w:val="nil"/>
            </w:tcBorders>
            <w:noWrap/>
            <w:vAlign w:val="center"/>
          </w:tcPr>
          <w:p w:rsidR="00E4601C" w:rsidRPr="00672448" w:rsidRDefault="00E4601C" w:rsidP="00672448">
            <w:pPr>
              <w:spacing w:line="300" w:lineRule="exact"/>
              <w:rPr>
                <w:rFonts w:ascii="仿宋_GB2312" w:eastAsia="仿宋_GB2312" w:hAnsi="仿宋_GB2312" w:cs="仿宋_GB2312"/>
                <w:sz w:val="24"/>
                <w:szCs w:val="24"/>
              </w:rPr>
            </w:pPr>
            <w:r w:rsidRPr="00672448">
              <w:rPr>
                <w:rFonts w:ascii="仿宋_GB2312" w:eastAsia="仿宋_GB2312" w:hAnsi="仿宋_GB2312" w:cs="仿宋_GB2312" w:hint="eastAsia"/>
                <w:sz w:val="24"/>
                <w:szCs w:val="24"/>
              </w:rPr>
              <w:t>截止时间：</w:t>
            </w:r>
            <w:r w:rsidRPr="00672448">
              <w:rPr>
                <w:rFonts w:ascii="仿宋_GB2312" w:eastAsia="仿宋_GB2312" w:hAnsi="仿宋_GB2312" w:cs="仿宋_GB2312"/>
                <w:sz w:val="24"/>
                <w:szCs w:val="24"/>
              </w:rPr>
              <w:t>2016</w:t>
            </w:r>
            <w:r w:rsidRPr="00672448">
              <w:rPr>
                <w:rFonts w:ascii="仿宋_GB2312" w:eastAsia="仿宋_GB2312" w:hAnsi="仿宋_GB2312" w:cs="仿宋_GB2312" w:hint="eastAsia"/>
                <w:sz w:val="24"/>
                <w:szCs w:val="24"/>
              </w:rPr>
              <w:t>年</w:t>
            </w:r>
            <w:r w:rsidRPr="00672448">
              <w:rPr>
                <w:rFonts w:ascii="仿宋_GB2312" w:eastAsia="仿宋_GB2312" w:hAnsi="仿宋_GB2312" w:cs="仿宋_GB2312"/>
                <w:sz w:val="24"/>
                <w:szCs w:val="24"/>
              </w:rPr>
              <w:t>12</w:t>
            </w:r>
            <w:r w:rsidRPr="00672448">
              <w:rPr>
                <w:rFonts w:ascii="仿宋_GB2312" w:eastAsia="仿宋_GB2312" w:hAnsi="仿宋_GB2312" w:cs="仿宋_GB2312" w:hint="eastAsia"/>
                <w:sz w:val="24"/>
                <w:szCs w:val="24"/>
              </w:rPr>
              <w:t>月</w:t>
            </w:r>
            <w:r w:rsidRPr="00672448">
              <w:rPr>
                <w:rFonts w:ascii="仿宋_GB2312" w:eastAsia="仿宋_GB2312" w:hAnsi="仿宋_GB2312" w:cs="仿宋_GB2312"/>
                <w:sz w:val="24"/>
                <w:szCs w:val="24"/>
              </w:rPr>
              <w:t>31</w:t>
            </w:r>
            <w:r w:rsidRPr="00672448">
              <w:rPr>
                <w:rFonts w:ascii="仿宋_GB2312" w:eastAsia="仿宋_GB2312" w:hAnsi="仿宋_GB2312" w:cs="仿宋_GB2312" w:hint="eastAsia"/>
                <w:sz w:val="24"/>
                <w:szCs w:val="24"/>
              </w:rPr>
              <w:t>日</w:t>
            </w:r>
            <w:r w:rsidRPr="00672448">
              <w:rPr>
                <w:rFonts w:ascii="仿宋_GB2312" w:eastAsia="仿宋_GB2312" w:hAnsi="仿宋_GB2312" w:cs="仿宋_GB2312"/>
                <w:sz w:val="24"/>
                <w:szCs w:val="24"/>
              </w:rPr>
              <w:t xml:space="preserve">  </w:t>
            </w:r>
          </w:p>
        </w:tc>
      </w:tr>
      <w:tr w:rsidR="00E4601C" w:rsidRPr="00E74A1E">
        <w:trPr>
          <w:trHeight w:val="645"/>
          <w:jc w:val="center"/>
        </w:trPr>
        <w:tc>
          <w:tcPr>
            <w:tcW w:w="5224" w:type="dxa"/>
            <w:tcBorders>
              <w:top w:val="single" w:sz="4" w:space="0" w:color="auto"/>
              <w:left w:val="single" w:sz="4" w:space="0" w:color="auto"/>
              <w:bottom w:val="single" w:sz="4" w:space="0" w:color="auto"/>
              <w:right w:val="single" w:sz="4" w:space="0" w:color="auto"/>
            </w:tcBorders>
            <w:noWrap/>
            <w:vAlign w:val="center"/>
          </w:tcPr>
          <w:p w:rsidR="00E4601C" w:rsidRPr="009508EA" w:rsidRDefault="00E4601C" w:rsidP="00296113">
            <w:pPr>
              <w:widowControl/>
              <w:jc w:val="center"/>
              <w:rPr>
                <w:rFonts w:ascii="仿宋_GB2312" w:eastAsia="仿宋_GB2312" w:cs="Times New Roman"/>
                <w:b/>
                <w:bCs/>
                <w:kern w:val="0"/>
                <w:sz w:val="22"/>
              </w:rPr>
            </w:pPr>
            <w:r w:rsidRPr="009508EA">
              <w:rPr>
                <w:rFonts w:ascii="仿宋_GB2312" w:eastAsia="仿宋_GB2312" w:hAnsi="宋体" w:cs="仿宋_GB2312" w:hint="eastAsia"/>
                <w:b/>
                <w:bCs/>
                <w:kern w:val="0"/>
                <w:sz w:val="22"/>
                <w:szCs w:val="22"/>
              </w:rPr>
              <w:t>项</w:t>
            </w:r>
            <w:r w:rsidRPr="009508EA">
              <w:rPr>
                <w:rFonts w:ascii="仿宋_GB2312" w:eastAsia="仿宋_GB2312" w:hAnsi="宋体" w:cs="仿宋_GB2312"/>
                <w:b/>
                <w:bCs/>
                <w:kern w:val="0"/>
                <w:sz w:val="22"/>
                <w:szCs w:val="22"/>
              </w:rPr>
              <w:t xml:space="preserve">   </w:t>
            </w:r>
            <w:r w:rsidRPr="009508EA">
              <w:rPr>
                <w:rFonts w:ascii="仿宋_GB2312" w:eastAsia="仿宋_GB2312" w:hAnsi="宋体" w:cs="仿宋_GB2312" w:hint="eastAsia"/>
                <w:b/>
                <w:bCs/>
                <w:kern w:val="0"/>
                <w:sz w:val="22"/>
                <w:szCs w:val="22"/>
              </w:rPr>
              <w:t>目</w:t>
            </w:r>
          </w:p>
        </w:tc>
        <w:tc>
          <w:tcPr>
            <w:tcW w:w="3155" w:type="dxa"/>
            <w:tcBorders>
              <w:top w:val="single" w:sz="4" w:space="0" w:color="auto"/>
              <w:left w:val="nil"/>
              <w:bottom w:val="single" w:sz="4" w:space="0" w:color="auto"/>
              <w:right w:val="single" w:sz="4" w:space="0" w:color="auto"/>
            </w:tcBorders>
            <w:noWrap/>
            <w:vAlign w:val="center"/>
          </w:tcPr>
          <w:p w:rsidR="00E4601C" w:rsidRPr="009508EA" w:rsidRDefault="00E4601C" w:rsidP="00296113">
            <w:pPr>
              <w:widowControl/>
              <w:jc w:val="center"/>
              <w:rPr>
                <w:rFonts w:ascii="仿宋_GB2312" w:eastAsia="仿宋_GB2312" w:cs="Times New Roman"/>
                <w:b/>
                <w:bCs/>
                <w:kern w:val="0"/>
                <w:sz w:val="22"/>
              </w:rPr>
            </w:pPr>
            <w:r w:rsidRPr="009508EA">
              <w:rPr>
                <w:rFonts w:ascii="仿宋_GB2312" w:eastAsia="仿宋_GB2312" w:hAnsi="宋体" w:cs="仿宋_GB2312"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E4601C" w:rsidRPr="009508EA" w:rsidRDefault="00E4601C" w:rsidP="00296113">
            <w:pPr>
              <w:widowControl/>
              <w:jc w:val="center"/>
              <w:rPr>
                <w:rFonts w:ascii="仿宋_GB2312" w:eastAsia="仿宋_GB2312" w:cs="Times New Roman"/>
                <w:b/>
                <w:bCs/>
                <w:kern w:val="0"/>
                <w:sz w:val="22"/>
              </w:rPr>
            </w:pPr>
            <w:r w:rsidRPr="009508EA">
              <w:rPr>
                <w:rFonts w:ascii="仿宋_GB2312" w:eastAsia="仿宋_GB2312" w:hAnsi="宋体" w:cs="仿宋_GB2312" w:hint="eastAsia"/>
                <w:b/>
                <w:bCs/>
                <w:kern w:val="0"/>
                <w:sz w:val="22"/>
                <w:szCs w:val="22"/>
              </w:rPr>
              <w:t>价值（金额单位：万元）</w:t>
            </w: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hAnsi="宋体" w:cs="楷体_GB2312"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hAnsi="宋体" w:cs="楷体_GB2312"/>
                <w:kern w:val="0"/>
                <w:sz w:val="22"/>
                <w:szCs w:val="22"/>
              </w:rPr>
              <w:t>——</w:t>
            </w: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cs="楷体_GB2312"/>
                <w:kern w:val="0"/>
                <w:sz w:val="22"/>
                <w:szCs w:val="22"/>
              </w:rPr>
              <w:t>97.07</w:t>
            </w: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E4601C" w:rsidRPr="00672448" w:rsidRDefault="00E4601C" w:rsidP="00296113">
            <w:pPr>
              <w:widowControl/>
              <w:jc w:val="left"/>
              <w:rPr>
                <w:rFonts w:ascii="楷体_GB2312" w:eastAsia="楷体_GB2312" w:cs="Times New Roman"/>
                <w:kern w:val="0"/>
                <w:sz w:val="22"/>
              </w:rPr>
            </w:pPr>
            <w:r w:rsidRPr="00672448">
              <w:rPr>
                <w:rFonts w:ascii="楷体_GB2312" w:eastAsia="楷体_GB2312" w:hAnsi="宋体" w:cs="楷体_GB2312"/>
                <w:kern w:val="0"/>
                <w:sz w:val="22"/>
                <w:szCs w:val="22"/>
              </w:rPr>
              <w:t>1</w:t>
            </w:r>
            <w:r w:rsidRPr="00672448">
              <w:rPr>
                <w:rFonts w:ascii="楷体_GB2312" w:eastAsia="楷体_GB2312" w:hAnsi="宋体" w:cs="楷体_GB2312"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E4601C" w:rsidRPr="00672448" w:rsidRDefault="00E4601C" w:rsidP="00296113">
            <w:pPr>
              <w:widowControl/>
              <w:jc w:val="left"/>
              <w:rPr>
                <w:rFonts w:ascii="楷体_GB2312" w:eastAsia="楷体_GB2312" w:cs="Times New Roman"/>
                <w:kern w:val="0"/>
                <w:sz w:val="22"/>
              </w:rPr>
            </w:pPr>
            <w:r w:rsidRPr="00672448">
              <w:rPr>
                <w:rFonts w:ascii="楷体_GB2312" w:eastAsia="楷体_GB2312" w:hAnsi="宋体" w:cs="楷体_GB2312"/>
                <w:kern w:val="0"/>
                <w:sz w:val="22"/>
                <w:szCs w:val="22"/>
              </w:rPr>
              <w:t xml:space="preserve">   </w:t>
            </w:r>
            <w:r w:rsidRPr="00672448">
              <w:rPr>
                <w:rFonts w:ascii="楷体_GB2312" w:eastAsia="楷体_GB2312" w:hAnsi="宋体" w:cs="楷体_GB2312"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E4601C" w:rsidRPr="00672448" w:rsidRDefault="00E4601C" w:rsidP="00296113">
            <w:pPr>
              <w:widowControl/>
              <w:jc w:val="left"/>
              <w:rPr>
                <w:rFonts w:ascii="楷体_GB2312" w:eastAsia="楷体_GB2312" w:cs="Times New Roman"/>
                <w:kern w:val="0"/>
                <w:sz w:val="22"/>
              </w:rPr>
            </w:pPr>
            <w:r w:rsidRPr="00672448">
              <w:rPr>
                <w:rFonts w:ascii="楷体_GB2312" w:eastAsia="楷体_GB2312" w:hAnsi="宋体" w:cs="楷体_GB2312"/>
                <w:kern w:val="0"/>
                <w:sz w:val="22"/>
                <w:szCs w:val="22"/>
              </w:rPr>
              <w:t>2</w:t>
            </w:r>
            <w:r w:rsidRPr="00672448">
              <w:rPr>
                <w:rFonts w:ascii="楷体_GB2312" w:eastAsia="楷体_GB2312" w:hAnsi="宋体" w:cs="楷体_GB2312"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cs="楷体_GB2312"/>
                <w:kern w:val="0"/>
                <w:sz w:val="22"/>
                <w:szCs w:val="22"/>
              </w:rPr>
              <w:t>2</w:t>
            </w: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hAnsi="宋体" w:cs="楷体_GB2312"/>
                <w:kern w:val="0"/>
                <w:sz w:val="22"/>
                <w:szCs w:val="22"/>
              </w:rPr>
              <w:t>35.60</w:t>
            </w: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vAlign w:val="center"/>
          </w:tcPr>
          <w:p w:rsidR="00E4601C" w:rsidRPr="00672448" w:rsidRDefault="00E4601C" w:rsidP="00296113">
            <w:pPr>
              <w:widowControl/>
              <w:jc w:val="left"/>
              <w:rPr>
                <w:rFonts w:ascii="楷体_GB2312" w:eastAsia="楷体_GB2312" w:cs="Times New Roman"/>
                <w:kern w:val="0"/>
                <w:sz w:val="22"/>
              </w:rPr>
            </w:pPr>
            <w:r w:rsidRPr="00672448">
              <w:rPr>
                <w:rFonts w:ascii="楷体_GB2312" w:eastAsia="楷体_GB2312" w:hAnsi="宋体" w:cs="楷体_GB2312"/>
                <w:kern w:val="0"/>
                <w:sz w:val="22"/>
                <w:szCs w:val="22"/>
              </w:rPr>
              <w:t>3</w:t>
            </w:r>
            <w:r w:rsidRPr="00672448">
              <w:rPr>
                <w:rFonts w:ascii="楷体_GB2312" w:eastAsia="楷体_GB2312" w:hAnsi="宋体" w:cs="楷体_GB2312" w:hint="eastAsia"/>
                <w:kern w:val="0"/>
                <w:sz w:val="22"/>
                <w:szCs w:val="22"/>
              </w:rPr>
              <w:t>、单价在</w:t>
            </w:r>
            <w:r w:rsidRPr="00672448">
              <w:rPr>
                <w:rFonts w:ascii="楷体_GB2312" w:eastAsia="楷体_GB2312" w:hAnsi="宋体" w:cs="楷体_GB2312"/>
                <w:kern w:val="0"/>
                <w:sz w:val="22"/>
                <w:szCs w:val="22"/>
              </w:rPr>
              <w:t>20</w:t>
            </w:r>
            <w:r w:rsidRPr="00672448">
              <w:rPr>
                <w:rFonts w:ascii="楷体_GB2312" w:eastAsia="楷体_GB2312" w:hAnsi="宋体" w:cs="楷体_GB2312"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p>
        </w:tc>
      </w:tr>
      <w:tr w:rsidR="00E4601C" w:rsidRPr="00E74A1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E4601C" w:rsidRPr="00672448" w:rsidRDefault="00E4601C" w:rsidP="00296113">
            <w:pPr>
              <w:widowControl/>
              <w:jc w:val="left"/>
              <w:rPr>
                <w:rFonts w:ascii="楷体_GB2312" w:eastAsia="楷体_GB2312" w:cs="Times New Roman"/>
                <w:kern w:val="0"/>
                <w:sz w:val="22"/>
              </w:rPr>
            </w:pPr>
            <w:r w:rsidRPr="00672448">
              <w:rPr>
                <w:rFonts w:ascii="楷体_GB2312" w:eastAsia="楷体_GB2312" w:hAnsi="宋体" w:cs="楷体_GB2312"/>
                <w:kern w:val="0"/>
                <w:sz w:val="22"/>
                <w:szCs w:val="22"/>
              </w:rPr>
              <w:t>4</w:t>
            </w:r>
            <w:r w:rsidRPr="00672448">
              <w:rPr>
                <w:rFonts w:ascii="楷体_GB2312" w:eastAsia="楷体_GB2312" w:hAnsi="宋体" w:cs="楷体_GB2312"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cs="楷体_GB2312"/>
                <w:kern w:val="0"/>
                <w:sz w:val="22"/>
                <w:szCs w:val="22"/>
              </w:rPr>
              <w:t>-</w:t>
            </w:r>
            <w:r w:rsidRPr="00672448">
              <w:rPr>
                <w:rFonts w:ascii="楷体_GB2312" w:eastAsia="楷体_GB2312" w:hAnsi="宋体" w:cs="楷体_GB2312"/>
                <w:kern w:val="0"/>
                <w:sz w:val="22"/>
                <w:szCs w:val="22"/>
              </w:rPr>
              <w:t xml:space="preserve"> </w:t>
            </w:r>
            <w:r w:rsidRPr="00672448">
              <w:rPr>
                <w:rFonts w:ascii="楷体_GB2312" w:eastAsia="楷体_GB2312" w:cs="楷体_GB2312"/>
                <w:kern w:val="0"/>
                <w:sz w:val="22"/>
                <w:szCs w:val="22"/>
              </w:rPr>
              <w:t>-</w:t>
            </w:r>
          </w:p>
        </w:tc>
        <w:tc>
          <w:tcPr>
            <w:tcW w:w="5103" w:type="dxa"/>
            <w:tcBorders>
              <w:top w:val="nil"/>
              <w:left w:val="nil"/>
              <w:bottom w:val="single" w:sz="4" w:space="0" w:color="auto"/>
              <w:right w:val="single" w:sz="4" w:space="0" w:color="auto"/>
            </w:tcBorders>
            <w:noWrap/>
            <w:vAlign w:val="center"/>
          </w:tcPr>
          <w:p w:rsidR="00E4601C" w:rsidRPr="00672448" w:rsidRDefault="00E4601C" w:rsidP="00296113">
            <w:pPr>
              <w:widowControl/>
              <w:jc w:val="center"/>
              <w:rPr>
                <w:rFonts w:ascii="楷体_GB2312" w:eastAsia="楷体_GB2312" w:cs="Times New Roman"/>
                <w:kern w:val="0"/>
                <w:sz w:val="22"/>
              </w:rPr>
            </w:pPr>
            <w:r w:rsidRPr="00672448">
              <w:rPr>
                <w:rFonts w:ascii="楷体_GB2312" w:eastAsia="楷体_GB2312" w:cs="楷体_GB2312"/>
                <w:kern w:val="0"/>
                <w:sz w:val="22"/>
                <w:szCs w:val="22"/>
              </w:rPr>
              <w:t>61.47</w:t>
            </w:r>
          </w:p>
        </w:tc>
      </w:tr>
    </w:tbl>
    <w:p w:rsidR="00E4601C" w:rsidRDefault="00E4601C" w:rsidP="009271DC">
      <w:pPr>
        <w:autoSpaceDE w:val="0"/>
        <w:autoSpaceDN w:val="0"/>
        <w:adjustRightInd w:val="0"/>
        <w:ind w:firstLineChars="200" w:firstLine="640"/>
        <w:jc w:val="left"/>
        <w:rPr>
          <w:rFonts w:ascii="黑体" w:eastAsia="黑体" w:hAnsi="黑体" w:cs="Times New Roman"/>
          <w:sz w:val="32"/>
          <w:szCs w:val="32"/>
        </w:rPr>
      </w:pPr>
      <w:r w:rsidRPr="00075D5F">
        <w:rPr>
          <w:rFonts w:ascii="黑体" w:eastAsia="黑体" w:hAnsi="黑体" w:cs="黑体" w:hint="eastAsia"/>
          <w:sz w:val="32"/>
          <w:szCs w:val="32"/>
        </w:rPr>
        <w:t>八、名词解释</w:t>
      </w:r>
    </w:p>
    <w:p w:rsidR="00E4601C" w:rsidRPr="009271DC" w:rsidRDefault="00E4601C" w:rsidP="009271DC">
      <w:pPr>
        <w:ind w:firstLineChars="200" w:firstLine="640"/>
        <w:rPr>
          <w:rFonts w:ascii="仿宋_GB2312" w:eastAsia="仿宋_GB2312" w:hAnsi="仿宋_GB2312" w:cs="仿宋_GB2312"/>
          <w:sz w:val="32"/>
          <w:szCs w:val="32"/>
        </w:rPr>
      </w:pPr>
      <w:r w:rsidRPr="009271DC">
        <w:rPr>
          <w:rFonts w:ascii="仿宋_GB2312" w:eastAsia="仿宋_GB2312" w:hAnsi="仿宋_GB2312" w:cs="仿宋_GB2312"/>
          <w:sz w:val="32"/>
          <w:szCs w:val="32"/>
        </w:rPr>
        <w:t>1</w:t>
      </w:r>
      <w:r w:rsidRPr="009271DC">
        <w:rPr>
          <w:rFonts w:ascii="仿宋_GB2312" w:eastAsia="仿宋_GB2312" w:hAnsi="仿宋_GB2312" w:cs="仿宋_GB2312" w:hint="eastAsia"/>
          <w:sz w:val="32"/>
          <w:szCs w:val="32"/>
        </w:rPr>
        <w:t>、一般公共预算拨款收入：指市级财政当年拨付的资金。</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2</w:t>
      </w:r>
      <w:r w:rsidRPr="009271DC">
        <w:rPr>
          <w:rFonts w:ascii="仿宋_GB2312" w:eastAsia="仿宋_GB2312" w:hAnsi="仿宋_GB2312" w:cs="仿宋_GB2312" w:hint="eastAsia"/>
          <w:sz w:val="32"/>
          <w:szCs w:val="32"/>
        </w:rPr>
        <w:t>、事业收入：指事业单位开展专业业务活动及辅助活动所取得的收入。</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3</w:t>
      </w:r>
      <w:r w:rsidRPr="009271DC">
        <w:rPr>
          <w:rFonts w:ascii="仿宋_GB2312" w:eastAsia="仿宋_GB2312" w:hAnsi="仿宋_GB2312" w:cs="仿宋_GB2312" w:hint="eastAsia"/>
          <w:sz w:val="32"/>
          <w:szCs w:val="32"/>
        </w:rPr>
        <w:t>、其他收入：指除上述“财政拨款收入”、“事业收入”等以外的收入。主要是按规定动用的租房收入、存款利息收入等。</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4</w:t>
      </w:r>
      <w:r w:rsidRPr="009271DC">
        <w:rPr>
          <w:rFonts w:ascii="仿宋_GB2312" w:eastAsia="仿宋_GB2312" w:hAnsi="仿宋_GB2312" w:cs="仿宋_GB2312" w:hint="eastAsia"/>
          <w:sz w:val="32"/>
          <w:szCs w:val="32"/>
        </w:rPr>
        <w:t>、基本支出：指为保障机构正常运转、完成日常工作任务而发生的人员支出和公用支出。</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5</w:t>
      </w:r>
      <w:r w:rsidRPr="009271DC">
        <w:rPr>
          <w:rFonts w:ascii="仿宋_GB2312" w:eastAsia="仿宋_GB2312" w:hAnsi="仿宋_GB2312" w:cs="仿宋_GB2312" w:hint="eastAsia"/>
          <w:sz w:val="32"/>
          <w:szCs w:val="32"/>
        </w:rPr>
        <w:t>、项目支出：指在基本支出之外为完成特定行政任务和事业发展目标所发生的支出。</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6</w:t>
      </w:r>
      <w:r w:rsidRPr="009271DC">
        <w:rPr>
          <w:rFonts w:ascii="仿宋_GB2312" w:eastAsia="仿宋_GB2312" w:hAnsi="仿宋_GB2312" w:cs="仿宋_GB2312" w:hint="eastAsia"/>
          <w:sz w:val="32"/>
          <w:szCs w:val="32"/>
        </w:rPr>
        <w:t>、上缴上级支出：指下级单位上缴上级的支出。</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7</w:t>
      </w:r>
      <w:r w:rsidRPr="009271DC">
        <w:rPr>
          <w:rFonts w:ascii="仿宋_GB2312" w:eastAsia="仿宋_GB2312" w:hAnsi="仿宋_GB2312" w:cs="仿宋_GB2312"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4601C" w:rsidRPr="009271DC" w:rsidRDefault="00E4601C" w:rsidP="009271DC">
      <w:pPr>
        <w:rPr>
          <w:rFonts w:ascii="仿宋_GB2312" w:eastAsia="仿宋_GB2312" w:hAnsi="仿宋_GB2312" w:cs="仿宋_GB2312"/>
          <w:sz w:val="32"/>
          <w:szCs w:val="32"/>
        </w:rPr>
      </w:pPr>
      <w:r w:rsidRPr="009271DC">
        <w:rPr>
          <w:rFonts w:ascii="仿宋_GB2312" w:eastAsia="仿宋_GB2312" w:hAnsi="仿宋_GB2312" w:cs="仿宋_GB2312"/>
          <w:sz w:val="32"/>
          <w:szCs w:val="32"/>
        </w:rPr>
        <w:t xml:space="preserve">    8</w:t>
      </w:r>
      <w:r w:rsidRPr="009271DC">
        <w:rPr>
          <w:rFonts w:ascii="仿宋_GB2312" w:eastAsia="仿宋_GB2312" w:hAnsi="仿宋_GB2312" w:cs="仿宋_GB231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4601C" w:rsidRDefault="00E4601C" w:rsidP="009271DC">
      <w:pPr>
        <w:autoSpaceDE w:val="0"/>
        <w:autoSpaceDN w:val="0"/>
        <w:adjustRightInd w:val="0"/>
        <w:ind w:firstLineChars="200" w:firstLine="640"/>
        <w:jc w:val="left"/>
        <w:rPr>
          <w:rFonts w:ascii="黑体" w:eastAsia="黑体" w:hAnsi="黑体" w:cs="Times New Roman"/>
          <w:sz w:val="32"/>
          <w:szCs w:val="32"/>
        </w:rPr>
      </w:pPr>
      <w:bookmarkStart w:id="1" w:name="_GoBack"/>
      <w:bookmarkEnd w:id="1"/>
      <w:r w:rsidRPr="00077A2E">
        <w:rPr>
          <w:rFonts w:ascii="黑体" w:eastAsia="黑体" w:hAnsi="黑体" w:cs="黑体" w:hint="eastAsia"/>
          <w:sz w:val="32"/>
          <w:szCs w:val="32"/>
        </w:rPr>
        <w:t>九、其它需要说明的事项</w:t>
      </w:r>
    </w:p>
    <w:p w:rsidR="00E4601C" w:rsidRPr="00C664D2" w:rsidRDefault="00E4601C" w:rsidP="00301AD4">
      <w:pPr>
        <w:ind w:firstLineChars="200" w:firstLine="640"/>
        <w:rPr>
          <w:rFonts w:ascii="仿宋_GB2312" w:eastAsia="仿宋_GB2312" w:hAnsi="仿宋_GB2312" w:cs="Times New Roman"/>
          <w:sz w:val="32"/>
          <w:szCs w:val="32"/>
        </w:rPr>
      </w:pPr>
      <w:r w:rsidRPr="00C664D2">
        <w:rPr>
          <w:rFonts w:ascii="仿宋_GB2312" w:eastAsia="仿宋_GB2312" w:hAnsi="仿宋_GB2312" w:cs="仿宋_GB2312" w:hint="eastAsia"/>
          <w:sz w:val="32"/>
          <w:szCs w:val="32"/>
        </w:rPr>
        <w:t>无其它需要说明的事项。</w:t>
      </w:r>
    </w:p>
    <w:sectPr w:rsidR="00E4601C" w:rsidRPr="00C664D2" w:rsidSect="00016DBE">
      <w:footerReference w:type="default" r:id="rId6"/>
      <w:pgSz w:w="16838" w:h="11906" w:orient="landscape" w:code="9"/>
      <w:pgMar w:top="1800" w:right="1440" w:bottom="62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1C" w:rsidRDefault="00E4601C" w:rsidP="008C2BAF">
      <w:pPr>
        <w:rPr>
          <w:rFonts w:cs="Times New Roman"/>
        </w:rPr>
      </w:pPr>
      <w:r>
        <w:rPr>
          <w:rFonts w:cs="Times New Roman"/>
        </w:rPr>
        <w:separator/>
      </w:r>
    </w:p>
  </w:endnote>
  <w:endnote w:type="continuationSeparator" w:id="0">
    <w:p w:rsidR="00E4601C" w:rsidRDefault="00E4601C" w:rsidP="008C2B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草檀斋毛泽东字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方正北魏楷书繁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C" w:rsidRDefault="00E4601C" w:rsidP="005C7FA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4601C" w:rsidRDefault="00E46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1C" w:rsidRDefault="00E4601C" w:rsidP="008C2BAF">
      <w:pPr>
        <w:rPr>
          <w:rFonts w:cs="Times New Roman"/>
        </w:rPr>
      </w:pPr>
      <w:r>
        <w:rPr>
          <w:rFonts w:cs="Times New Roman"/>
        </w:rPr>
        <w:separator/>
      </w:r>
    </w:p>
  </w:footnote>
  <w:footnote w:type="continuationSeparator" w:id="0">
    <w:p w:rsidR="00E4601C" w:rsidRDefault="00E4601C" w:rsidP="008C2BA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2266"/>
    <w:rsid w:val="00016DBE"/>
    <w:rsid w:val="00037AF6"/>
    <w:rsid w:val="000456E1"/>
    <w:rsid w:val="00045A61"/>
    <w:rsid w:val="00063A14"/>
    <w:rsid w:val="000673C8"/>
    <w:rsid w:val="000736D8"/>
    <w:rsid w:val="00075D5F"/>
    <w:rsid w:val="00077A2E"/>
    <w:rsid w:val="00087C16"/>
    <w:rsid w:val="000B38EF"/>
    <w:rsid w:val="000C3A19"/>
    <w:rsid w:val="000D5108"/>
    <w:rsid w:val="00102F4C"/>
    <w:rsid w:val="001143CA"/>
    <w:rsid w:val="001163DB"/>
    <w:rsid w:val="001166E1"/>
    <w:rsid w:val="001245BB"/>
    <w:rsid w:val="00131CF0"/>
    <w:rsid w:val="00147549"/>
    <w:rsid w:val="0015080C"/>
    <w:rsid w:val="0018479D"/>
    <w:rsid w:val="0019398E"/>
    <w:rsid w:val="0019570D"/>
    <w:rsid w:val="001E16A6"/>
    <w:rsid w:val="001F55BB"/>
    <w:rsid w:val="00210853"/>
    <w:rsid w:val="00231279"/>
    <w:rsid w:val="00241FD4"/>
    <w:rsid w:val="002437BE"/>
    <w:rsid w:val="00251B12"/>
    <w:rsid w:val="00257FEB"/>
    <w:rsid w:val="002645FB"/>
    <w:rsid w:val="00273223"/>
    <w:rsid w:val="00294257"/>
    <w:rsid w:val="00296113"/>
    <w:rsid w:val="002A591B"/>
    <w:rsid w:val="002D14B5"/>
    <w:rsid w:val="002F3E58"/>
    <w:rsid w:val="00301AD4"/>
    <w:rsid w:val="0030542C"/>
    <w:rsid w:val="00311B7A"/>
    <w:rsid w:val="0035003B"/>
    <w:rsid w:val="0037758F"/>
    <w:rsid w:val="00392041"/>
    <w:rsid w:val="003A42AA"/>
    <w:rsid w:val="003A4525"/>
    <w:rsid w:val="003A6253"/>
    <w:rsid w:val="003B1917"/>
    <w:rsid w:val="003B3492"/>
    <w:rsid w:val="003E146A"/>
    <w:rsid w:val="003E1A7F"/>
    <w:rsid w:val="003F6ED1"/>
    <w:rsid w:val="0041480B"/>
    <w:rsid w:val="00431E8D"/>
    <w:rsid w:val="0043584E"/>
    <w:rsid w:val="004377CE"/>
    <w:rsid w:val="00451871"/>
    <w:rsid w:val="004641FF"/>
    <w:rsid w:val="00464521"/>
    <w:rsid w:val="00472923"/>
    <w:rsid w:val="00475224"/>
    <w:rsid w:val="0048511B"/>
    <w:rsid w:val="00494CD3"/>
    <w:rsid w:val="004A7785"/>
    <w:rsid w:val="004C1B88"/>
    <w:rsid w:val="004D4924"/>
    <w:rsid w:val="004D5E0F"/>
    <w:rsid w:val="004E3066"/>
    <w:rsid w:val="004E74CD"/>
    <w:rsid w:val="00503846"/>
    <w:rsid w:val="0050427E"/>
    <w:rsid w:val="005044A0"/>
    <w:rsid w:val="0052448C"/>
    <w:rsid w:val="0053377B"/>
    <w:rsid w:val="00551E26"/>
    <w:rsid w:val="005530D5"/>
    <w:rsid w:val="00555B23"/>
    <w:rsid w:val="00573562"/>
    <w:rsid w:val="005964BE"/>
    <w:rsid w:val="005A46E8"/>
    <w:rsid w:val="005C0C90"/>
    <w:rsid w:val="005C3C51"/>
    <w:rsid w:val="005C7FA0"/>
    <w:rsid w:val="005D555C"/>
    <w:rsid w:val="005F1400"/>
    <w:rsid w:val="005F672C"/>
    <w:rsid w:val="005F75E8"/>
    <w:rsid w:val="00614A29"/>
    <w:rsid w:val="006506FF"/>
    <w:rsid w:val="00650A58"/>
    <w:rsid w:val="00672448"/>
    <w:rsid w:val="006926A1"/>
    <w:rsid w:val="006B209D"/>
    <w:rsid w:val="006C34BA"/>
    <w:rsid w:val="006C64E3"/>
    <w:rsid w:val="006D14EC"/>
    <w:rsid w:val="006D15D9"/>
    <w:rsid w:val="006D6C0D"/>
    <w:rsid w:val="006E509B"/>
    <w:rsid w:val="007044C4"/>
    <w:rsid w:val="00727929"/>
    <w:rsid w:val="00737240"/>
    <w:rsid w:val="0075393C"/>
    <w:rsid w:val="00776C08"/>
    <w:rsid w:val="00783541"/>
    <w:rsid w:val="007842FC"/>
    <w:rsid w:val="00784BF2"/>
    <w:rsid w:val="00792E1A"/>
    <w:rsid w:val="0079426D"/>
    <w:rsid w:val="007B4EE0"/>
    <w:rsid w:val="007C392C"/>
    <w:rsid w:val="007E1DA8"/>
    <w:rsid w:val="007E2E8D"/>
    <w:rsid w:val="007F05D4"/>
    <w:rsid w:val="007F5224"/>
    <w:rsid w:val="007F6C26"/>
    <w:rsid w:val="00802C07"/>
    <w:rsid w:val="00813687"/>
    <w:rsid w:val="008334AE"/>
    <w:rsid w:val="00836922"/>
    <w:rsid w:val="00836FED"/>
    <w:rsid w:val="00837CEA"/>
    <w:rsid w:val="00845CD2"/>
    <w:rsid w:val="008502D8"/>
    <w:rsid w:val="00852B0D"/>
    <w:rsid w:val="00856227"/>
    <w:rsid w:val="00881692"/>
    <w:rsid w:val="0089658F"/>
    <w:rsid w:val="008B3CC5"/>
    <w:rsid w:val="008C2BAF"/>
    <w:rsid w:val="008E4261"/>
    <w:rsid w:val="008E7B4F"/>
    <w:rsid w:val="008F4662"/>
    <w:rsid w:val="00902774"/>
    <w:rsid w:val="00905928"/>
    <w:rsid w:val="00905D08"/>
    <w:rsid w:val="009078F9"/>
    <w:rsid w:val="00912383"/>
    <w:rsid w:val="00915F70"/>
    <w:rsid w:val="00925753"/>
    <w:rsid w:val="009271DC"/>
    <w:rsid w:val="009508EA"/>
    <w:rsid w:val="00952E5C"/>
    <w:rsid w:val="00966C5C"/>
    <w:rsid w:val="00973104"/>
    <w:rsid w:val="00980D6D"/>
    <w:rsid w:val="00995C5E"/>
    <w:rsid w:val="009E2D26"/>
    <w:rsid w:val="009E4806"/>
    <w:rsid w:val="00A0459A"/>
    <w:rsid w:val="00A20E39"/>
    <w:rsid w:val="00A421CD"/>
    <w:rsid w:val="00A551CB"/>
    <w:rsid w:val="00A63A61"/>
    <w:rsid w:val="00A72D2E"/>
    <w:rsid w:val="00A75C49"/>
    <w:rsid w:val="00A9029F"/>
    <w:rsid w:val="00A911E7"/>
    <w:rsid w:val="00A92630"/>
    <w:rsid w:val="00A939D9"/>
    <w:rsid w:val="00A945A6"/>
    <w:rsid w:val="00AC1102"/>
    <w:rsid w:val="00AC478C"/>
    <w:rsid w:val="00AD2245"/>
    <w:rsid w:val="00AE638E"/>
    <w:rsid w:val="00AF5D9E"/>
    <w:rsid w:val="00B20712"/>
    <w:rsid w:val="00B262F4"/>
    <w:rsid w:val="00B40E54"/>
    <w:rsid w:val="00B43238"/>
    <w:rsid w:val="00B55354"/>
    <w:rsid w:val="00B66038"/>
    <w:rsid w:val="00B75216"/>
    <w:rsid w:val="00B91D52"/>
    <w:rsid w:val="00BA1ACD"/>
    <w:rsid w:val="00BA4D84"/>
    <w:rsid w:val="00BC7CB6"/>
    <w:rsid w:val="00BF0180"/>
    <w:rsid w:val="00BF0B6D"/>
    <w:rsid w:val="00C06232"/>
    <w:rsid w:val="00C25120"/>
    <w:rsid w:val="00C30584"/>
    <w:rsid w:val="00C64391"/>
    <w:rsid w:val="00C664D2"/>
    <w:rsid w:val="00C934D5"/>
    <w:rsid w:val="00CA7176"/>
    <w:rsid w:val="00CC049D"/>
    <w:rsid w:val="00CD2773"/>
    <w:rsid w:val="00CD2B5D"/>
    <w:rsid w:val="00CD60B5"/>
    <w:rsid w:val="00CE143B"/>
    <w:rsid w:val="00CF3ED1"/>
    <w:rsid w:val="00CF4EDE"/>
    <w:rsid w:val="00CF5231"/>
    <w:rsid w:val="00D575BD"/>
    <w:rsid w:val="00D73F31"/>
    <w:rsid w:val="00D73F3B"/>
    <w:rsid w:val="00D803E6"/>
    <w:rsid w:val="00D900E6"/>
    <w:rsid w:val="00D9708D"/>
    <w:rsid w:val="00E112F8"/>
    <w:rsid w:val="00E123CA"/>
    <w:rsid w:val="00E14843"/>
    <w:rsid w:val="00E167C7"/>
    <w:rsid w:val="00E21470"/>
    <w:rsid w:val="00E4508D"/>
    <w:rsid w:val="00E4601C"/>
    <w:rsid w:val="00E62488"/>
    <w:rsid w:val="00E63548"/>
    <w:rsid w:val="00E66FBA"/>
    <w:rsid w:val="00E67DDC"/>
    <w:rsid w:val="00E74A1E"/>
    <w:rsid w:val="00E81411"/>
    <w:rsid w:val="00E8243C"/>
    <w:rsid w:val="00E924E7"/>
    <w:rsid w:val="00EC47F6"/>
    <w:rsid w:val="00EE1B43"/>
    <w:rsid w:val="00EE2BF1"/>
    <w:rsid w:val="00F00A3A"/>
    <w:rsid w:val="00F153EF"/>
    <w:rsid w:val="00F32C9B"/>
    <w:rsid w:val="00F4264C"/>
    <w:rsid w:val="00F431C7"/>
    <w:rsid w:val="00F55FB6"/>
    <w:rsid w:val="00F60388"/>
    <w:rsid w:val="00F66032"/>
    <w:rsid w:val="00F7338F"/>
    <w:rsid w:val="00F73FEA"/>
    <w:rsid w:val="00F8242D"/>
    <w:rsid w:val="00F958C2"/>
    <w:rsid w:val="00FC587E"/>
    <w:rsid w:val="00FD22AC"/>
    <w:rsid w:val="00FD4BB6"/>
    <w:rsid w:val="00FE4C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1245BB"/>
    <w:rPr>
      <w:rFonts w:ascii="Times New Roman" w:hAnsi="Times New Roman" w:cs="Times New Roman"/>
    </w:rPr>
  </w:style>
  <w:style w:type="paragraph" w:styleId="TOC2">
    <w:name w:val="toc 2"/>
    <w:basedOn w:val="Normal"/>
    <w:next w:val="Normal"/>
    <w:autoRedefine/>
    <w:uiPriority w:val="99"/>
    <w:semiHidden/>
    <w:rsid w:val="001245BB"/>
    <w:pPr>
      <w:ind w:leftChars="200" w:left="420"/>
    </w:pPr>
    <w:rPr>
      <w:rFonts w:ascii="Times New Roman" w:hAnsi="Times New Roman" w:cs="Times New Roman"/>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character" w:styleId="PageNumber">
    <w:name w:val="page number"/>
    <w:basedOn w:val="DefaultParagraphFont"/>
    <w:uiPriority w:val="99"/>
    <w:rsid w:val="003B1917"/>
    <w:rPr>
      <w:rFonts w:cs="Times New Roman"/>
    </w:rPr>
  </w:style>
  <w:style w:type="paragraph" w:customStyle="1" w:styleId="Default">
    <w:name w:val="Default"/>
    <w:uiPriority w:val="99"/>
    <w:rsid w:val="009271DC"/>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89359375">
      <w:marLeft w:val="0"/>
      <w:marRight w:val="0"/>
      <w:marTop w:val="0"/>
      <w:marBottom w:val="0"/>
      <w:divBdr>
        <w:top w:val="none" w:sz="0" w:space="0" w:color="auto"/>
        <w:left w:val="none" w:sz="0" w:space="0" w:color="auto"/>
        <w:bottom w:val="none" w:sz="0" w:space="0" w:color="auto"/>
        <w:right w:val="none" w:sz="0" w:space="0" w:color="auto"/>
      </w:divBdr>
    </w:div>
    <w:div w:id="989359376">
      <w:marLeft w:val="0"/>
      <w:marRight w:val="0"/>
      <w:marTop w:val="0"/>
      <w:marBottom w:val="0"/>
      <w:divBdr>
        <w:top w:val="none" w:sz="0" w:space="0" w:color="auto"/>
        <w:left w:val="none" w:sz="0" w:space="0" w:color="auto"/>
        <w:bottom w:val="none" w:sz="0" w:space="0" w:color="auto"/>
        <w:right w:val="none" w:sz="0" w:space="0" w:color="auto"/>
      </w:divBdr>
    </w:div>
    <w:div w:id="989359377">
      <w:marLeft w:val="0"/>
      <w:marRight w:val="0"/>
      <w:marTop w:val="0"/>
      <w:marBottom w:val="0"/>
      <w:divBdr>
        <w:top w:val="none" w:sz="0" w:space="0" w:color="auto"/>
        <w:left w:val="none" w:sz="0" w:space="0" w:color="auto"/>
        <w:bottom w:val="none" w:sz="0" w:space="0" w:color="auto"/>
        <w:right w:val="none" w:sz="0" w:space="0" w:color="auto"/>
      </w:divBdr>
    </w:div>
    <w:div w:id="989359378">
      <w:marLeft w:val="0"/>
      <w:marRight w:val="0"/>
      <w:marTop w:val="0"/>
      <w:marBottom w:val="0"/>
      <w:divBdr>
        <w:top w:val="none" w:sz="0" w:space="0" w:color="auto"/>
        <w:left w:val="none" w:sz="0" w:space="0" w:color="auto"/>
        <w:bottom w:val="none" w:sz="0" w:space="0" w:color="auto"/>
        <w:right w:val="none" w:sz="0" w:space="0" w:color="auto"/>
      </w:divBdr>
    </w:div>
    <w:div w:id="989359379">
      <w:marLeft w:val="0"/>
      <w:marRight w:val="0"/>
      <w:marTop w:val="0"/>
      <w:marBottom w:val="0"/>
      <w:divBdr>
        <w:top w:val="none" w:sz="0" w:space="0" w:color="auto"/>
        <w:left w:val="none" w:sz="0" w:space="0" w:color="auto"/>
        <w:bottom w:val="none" w:sz="0" w:space="0" w:color="auto"/>
        <w:right w:val="none" w:sz="0" w:space="0" w:color="auto"/>
      </w:divBdr>
    </w:div>
    <w:div w:id="989359380">
      <w:marLeft w:val="0"/>
      <w:marRight w:val="0"/>
      <w:marTop w:val="0"/>
      <w:marBottom w:val="0"/>
      <w:divBdr>
        <w:top w:val="none" w:sz="0" w:space="0" w:color="auto"/>
        <w:left w:val="none" w:sz="0" w:space="0" w:color="auto"/>
        <w:bottom w:val="none" w:sz="0" w:space="0" w:color="auto"/>
        <w:right w:val="none" w:sz="0" w:space="0" w:color="auto"/>
      </w:divBdr>
    </w:div>
    <w:div w:id="989359381">
      <w:marLeft w:val="0"/>
      <w:marRight w:val="0"/>
      <w:marTop w:val="0"/>
      <w:marBottom w:val="0"/>
      <w:divBdr>
        <w:top w:val="none" w:sz="0" w:space="0" w:color="auto"/>
        <w:left w:val="none" w:sz="0" w:space="0" w:color="auto"/>
        <w:bottom w:val="none" w:sz="0" w:space="0" w:color="auto"/>
        <w:right w:val="none" w:sz="0" w:space="0" w:color="auto"/>
      </w:divBdr>
    </w:div>
    <w:div w:id="989359382">
      <w:marLeft w:val="0"/>
      <w:marRight w:val="0"/>
      <w:marTop w:val="0"/>
      <w:marBottom w:val="0"/>
      <w:divBdr>
        <w:top w:val="none" w:sz="0" w:space="0" w:color="auto"/>
        <w:left w:val="none" w:sz="0" w:space="0" w:color="auto"/>
        <w:bottom w:val="none" w:sz="0" w:space="0" w:color="auto"/>
        <w:right w:val="none" w:sz="0" w:space="0" w:color="auto"/>
      </w:divBdr>
    </w:div>
    <w:div w:id="989359383">
      <w:marLeft w:val="0"/>
      <w:marRight w:val="0"/>
      <w:marTop w:val="0"/>
      <w:marBottom w:val="0"/>
      <w:divBdr>
        <w:top w:val="none" w:sz="0" w:space="0" w:color="auto"/>
        <w:left w:val="none" w:sz="0" w:space="0" w:color="auto"/>
        <w:bottom w:val="none" w:sz="0" w:space="0" w:color="auto"/>
        <w:right w:val="none" w:sz="0" w:space="0" w:color="auto"/>
      </w:divBdr>
    </w:div>
    <w:div w:id="989359384">
      <w:marLeft w:val="0"/>
      <w:marRight w:val="0"/>
      <w:marTop w:val="0"/>
      <w:marBottom w:val="0"/>
      <w:divBdr>
        <w:top w:val="none" w:sz="0" w:space="0" w:color="auto"/>
        <w:left w:val="none" w:sz="0" w:space="0" w:color="auto"/>
        <w:bottom w:val="none" w:sz="0" w:space="0" w:color="auto"/>
        <w:right w:val="none" w:sz="0" w:space="0" w:color="auto"/>
      </w:divBdr>
    </w:div>
    <w:div w:id="989359385">
      <w:marLeft w:val="0"/>
      <w:marRight w:val="0"/>
      <w:marTop w:val="0"/>
      <w:marBottom w:val="0"/>
      <w:divBdr>
        <w:top w:val="none" w:sz="0" w:space="0" w:color="auto"/>
        <w:left w:val="none" w:sz="0" w:space="0" w:color="auto"/>
        <w:bottom w:val="none" w:sz="0" w:space="0" w:color="auto"/>
        <w:right w:val="none" w:sz="0" w:space="0" w:color="auto"/>
      </w:divBdr>
    </w:div>
    <w:div w:id="989359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14</Pages>
  <Words>835</Words>
  <Characters>4762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dc:title>
  <dc:subject/>
  <dc:creator>guest</dc:creator>
  <cp:keywords/>
  <dc:description/>
  <cp:lastModifiedBy>微软中国</cp:lastModifiedBy>
  <cp:revision>60</cp:revision>
  <dcterms:created xsi:type="dcterms:W3CDTF">2017-06-24T07:20:00Z</dcterms:created>
  <dcterms:modified xsi:type="dcterms:W3CDTF">2017-04-21T08:57:00Z</dcterms:modified>
</cp:coreProperties>
</file>